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F6C6D" w14:textId="77777777" w:rsidR="004C1092" w:rsidRPr="00312A59" w:rsidRDefault="004C1092" w:rsidP="00312A59">
      <w:pPr>
        <w:pStyle w:val="Title"/>
        <w:spacing w:line="240" w:lineRule="auto"/>
        <w:jc w:val="left"/>
        <w:rPr>
          <w:sz w:val="24"/>
          <w:szCs w:val="24"/>
        </w:rPr>
      </w:pPr>
    </w:p>
    <w:p w14:paraId="46807236" w14:textId="77777777" w:rsidR="009E2A76" w:rsidRDefault="009E2A76" w:rsidP="00312A59">
      <w:pPr>
        <w:pStyle w:val="Title"/>
        <w:spacing w:line="240" w:lineRule="auto"/>
        <w:rPr>
          <w:sz w:val="24"/>
          <w:szCs w:val="24"/>
        </w:rPr>
      </w:pPr>
    </w:p>
    <w:p w14:paraId="22148D3A" w14:textId="77777777" w:rsidR="009E2A76" w:rsidRDefault="009E2A76" w:rsidP="00312A59">
      <w:pPr>
        <w:pStyle w:val="Title"/>
        <w:spacing w:line="240" w:lineRule="auto"/>
        <w:rPr>
          <w:sz w:val="24"/>
          <w:szCs w:val="24"/>
        </w:rPr>
      </w:pPr>
    </w:p>
    <w:p w14:paraId="7D7B876E" w14:textId="77777777" w:rsidR="009E2A76" w:rsidRDefault="009E2A76" w:rsidP="00312A59">
      <w:pPr>
        <w:pStyle w:val="Title"/>
        <w:spacing w:line="240" w:lineRule="auto"/>
        <w:rPr>
          <w:sz w:val="24"/>
          <w:szCs w:val="24"/>
        </w:rPr>
      </w:pPr>
    </w:p>
    <w:p w14:paraId="39FCDFA5" w14:textId="1324952C" w:rsidR="0064777F" w:rsidRDefault="0064777F" w:rsidP="00312A59">
      <w:pPr>
        <w:pStyle w:val="Title"/>
        <w:spacing w:line="240" w:lineRule="auto"/>
        <w:rPr>
          <w:sz w:val="24"/>
          <w:szCs w:val="24"/>
        </w:rPr>
      </w:pPr>
      <w:r w:rsidRPr="00312A59">
        <w:rPr>
          <w:sz w:val="24"/>
          <w:szCs w:val="24"/>
        </w:rPr>
        <w:t>NOTĂ DE FUNDAMENTARE</w:t>
      </w:r>
    </w:p>
    <w:p w14:paraId="683C4A43" w14:textId="77777777" w:rsidR="001334BA" w:rsidRPr="00312A59" w:rsidRDefault="001334BA" w:rsidP="00CF0AD2">
      <w:pPr>
        <w:pStyle w:val="Title"/>
        <w:spacing w:line="240" w:lineRule="auto"/>
        <w:jc w:val="left"/>
        <w:rPr>
          <w:sz w:val="24"/>
          <w:szCs w:val="24"/>
        </w:rPr>
      </w:pPr>
    </w:p>
    <w:p w14:paraId="0448C4F0" w14:textId="77777777" w:rsidR="00223491" w:rsidRPr="00312A59" w:rsidRDefault="00223491" w:rsidP="00312A59">
      <w:pPr>
        <w:pStyle w:val="Title"/>
        <w:spacing w:line="240" w:lineRule="auto"/>
        <w:ind w:firstLine="720"/>
        <w:jc w:val="left"/>
        <w:rPr>
          <w:sz w:val="24"/>
          <w:szCs w:val="24"/>
        </w:rPr>
      </w:pPr>
      <w:r w:rsidRPr="00312A59">
        <w:rPr>
          <w:sz w:val="24"/>
          <w:szCs w:val="24"/>
        </w:rPr>
        <w:t>Secțiunea 1</w:t>
      </w:r>
    </w:p>
    <w:p w14:paraId="78C75447" w14:textId="76B7EDCC" w:rsidR="00223491" w:rsidRDefault="00223491" w:rsidP="00312A59">
      <w:pPr>
        <w:pStyle w:val="Title"/>
        <w:spacing w:line="240" w:lineRule="auto"/>
        <w:ind w:firstLine="720"/>
        <w:jc w:val="left"/>
        <w:rPr>
          <w:sz w:val="24"/>
          <w:szCs w:val="24"/>
        </w:rPr>
      </w:pPr>
      <w:r w:rsidRPr="00312A59">
        <w:rPr>
          <w:sz w:val="24"/>
          <w:szCs w:val="24"/>
        </w:rPr>
        <w:t>Titlul proiectului de act normativ</w:t>
      </w:r>
    </w:p>
    <w:p w14:paraId="6AF857A5" w14:textId="77777777" w:rsidR="00D270B3" w:rsidRPr="00312A59" w:rsidRDefault="00D270B3" w:rsidP="00312A59">
      <w:pPr>
        <w:pStyle w:val="Title"/>
        <w:spacing w:line="240" w:lineRule="auto"/>
        <w:ind w:firstLine="720"/>
        <w:jc w:val="left"/>
        <w:rPr>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43321C" w:rsidRPr="00312A59" w14:paraId="117C71DD" w14:textId="77777777" w:rsidTr="00223491">
        <w:tc>
          <w:tcPr>
            <w:tcW w:w="10490" w:type="dxa"/>
          </w:tcPr>
          <w:p w14:paraId="338F09EC" w14:textId="03C38B4C" w:rsidR="00670C79" w:rsidRPr="00312A59" w:rsidRDefault="00F63717" w:rsidP="00C83E7D">
            <w:pPr>
              <w:widowControl w:val="0"/>
              <w:jc w:val="center"/>
              <w:rPr>
                <w:b/>
                <w:color w:val="000000" w:themeColor="text1"/>
                <w:lang w:eastAsia="ro-RO"/>
              </w:rPr>
            </w:pPr>
            <w:bookmarkStart w:id="0" w:name="_Hlk170397234"/>
            <w:r w:rsidRPr="00312A59">
              <w:rPr>
                <w:b/>
                <w:bCs/>
                <w:color w:val="000000" w:themeColor="text1"/>
              </w:rPr>
              <w:t xml:space="preserve">Hotărâre </w:t>
            </w:r>
            <w:r w:rsidR="00333B63" w:rsidRPr="00312A59">
              <w:rPr>
                <w:b/>
                <w:bCs/>
                <w:color w:val="000000" w:themeColor="text1"/>
              </w:rPr>
              <w:t>a Guvernului pentru</w:t>
            </w:r>
            <w:r w:rsidR="00854FFC" w:rsidRPr="00312A59">
              <w:rPr>
                <w:b/>
                <w:bCs/>
                <w:color w:val="000000" w:themeColor="text1"/>
              </w:rPr>
              <w:t xml:space="preserve"> </w:t>
            </w:r>
            <w:r w:rsidR="00B45357">
              <w:rPr>
                <w:b/>
                <w:bCs/>
                <w:color w:val="000000" w:themeColor="text1"/>
              </w:rPr>
              <w:t>modificarea</w:t>
            </w:r>
            <w:r w:rsidR="00B867C5">
              <w:rPr>
                <w:b/>
                <w:bCs/>
                <w:color w:val="000000" w:themeColor="text1"/>
              </w:rPr>
              <w:t xml:space="preserve"> </w:t>
            </w:r>
            <w:r w:rsidR="004E504C" w:rsidRPr="004E504C">
              <w:rPr>
                <w:b/>
                <w:bCs/>
                <w:color w:val="000000" w:themeColor="text1"/>
              </w:rPr>
              <w:t>Hotărâr</w:t>
            </w:r>
            <w:r w:rsidR="00B867C5">
              <w:rPr>
                <w:b/>
                <w:bCs/>
                <w:color w:val="000000" w:themeColor="text1"/>
              </w:rPr>
              <w:t xml:space="preserve">ii </w:t>
            </w:r>
            <w:r w:rsidR="004E504C" w:rsidRPr="004E504C">
              <w:rPr>
                <w:b/>
                <w:bCs/>
                <w:color w:val="000000" w:themeColor="text1"/>
              </w:rPr>
              <w:t>Guvernului nr. 52/2018 privind organizarea și funcționarea Ministerului Investițiilor și Proiectelor Europene</w:t>
            </w:r>
            <w:bookmarkEnd w:id="0"/>
          </w:p>
        </w:tc>
      </w:tr>
    </w:tbl>
    <w:p w14:paraId="085E8CE0" w14:textId="77777777" w:rsidR="009E2A76" w:rsidRPr="00312A59" w:rsidRDefault="009E2A76" w:rsidP="00312A59">
      <w:pPr>
        <w:jc w:val="both"/>
        <w:rPr>
          <w:b/>
          <w:color w:val="000000" w:themeColor="text1"/>
          <w:lang w:eastAsia="ro-RO"/>
        </w:rPr>
      </w:pPr>
    </w:p>
    <w:p w14:paraId="33C1CD30" w14:textId="77777777" w:rsidR="00223491" w:rsidRPr="00312A59" w:rsidRDefault="00C5468F" w:rsidP="00312A59">
      <w:pPr>
        <w:ind w:firstLine="720"/>
        <w:jc w:val="both"/>
        <w:rPr>
          <w:b/>
          <w:lang w:eastAsia="ro-RO"/>
        </w:rPr>
      </w:pPr>
      <w:r w:rsidRPr="00312A59">
        <w:rPr>
          <w:b/>
          <w:lang w:eastAsia="ro-RO"/>
        </w:rPr>
        <w:t>Secțiunea</w:t>
      </w:r>
      <w:r w:rsidR="00670C79" w:rsidRPr="00312A59">
        <w:rPr>
          <w:b/>
          <w:lang w:eastAsia="ro-RO"/>
        </w:rPr>
        <w:t xml:space="preserve"> a 2-a  </w:t>
      </w:r>
    </w:p>
    <w:p w14:paraId="23181ACA" w14:textId="4A5ED943" w:rsidR="00CB78C4" w:rsidRDefault="00670C79" w:rsidP="00312A59">
      <w:pPr>
        <w:ind w:firstLine="720"/>
        <w:jc w:val="both"/>
        <w:rPr>
          <w:b/>
          <w:lang w:eastAsia="ro-RO"/>
        </w:rPr>
      </w:pPr>
      <w:r w:rsidRPr="00312A59">
        <w:rPr>
          <w:b/>
          <w:lang w:eastAsia="ro-RO"/>
        </w:rPr>
        <w:t>Motivul emiterii actului normativ</w:t>
      </w:r>
      <w:r w:rsidR="0066428B" w:rsidRPr="00312A59">
        <w:rPr>
          <w:b/>
          <w:lang w:eastAsia="ro-RO"/>
        </w:rPr>
        <w:t xml:space="preserve"> </w:t>
      </w:r>
    </w:p>
    <w:p w14:paraId="4926E4A7" w14:textId="77777777" w:rsidR="009E2A76" w:rsidRDefault="009E2A76" w:rsidP="00312A59">
      <w:pPr>
        <w:ind w:firstLine="720"/>
        <w:jc w:val="both"/>
        <w:rPr>
          <w:b/>
          <w:lang w:eastAsia="ro-RO"/>
        </w:rPr>
      </w:pPr>
    </w:p>
    <w:p w14:paraId="75E2836D" w14:textId="77777777" w:rsidR="00E01C62" w:rsidRPr="00312A59" w:rsidRDefault="00E01C62" w:rsidP="00312A59">
      <w:pPr>
        <w:ind w:firstLine="720"/>
        <w:jc w:val="both"/>
        <w:rPr>
          <w:b/>
          <w:lang w:eastAsia="ro-RO"/>
        </w:rPr>
      </w:pPr>
    </w:p>
    <w:tbl>
      <w:tblPr>
        <w:tblW w:w="110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0"/>
      </w:tblGrid>
      <w:tr w:rsidR="00223491" w:rsidRPr="00BA5E71" w14:paraId="47D7FD1D" w14:textId="77777777" w:rsidTr="00566D8E">
        <w:trPr>
          <w:trHeight w:val="841"/>
        </w:trPr>
        <w:tc>
          <w:tcPr>
            <w:tcW w:w="11070" w:type="dxa"/>
          </w:tcPr>
          <w:p w14:paraId="5D15E98B" w14:textId="1BB1C0E4" w:rsidR="00460C6F" w:rsidRPr="00566D8E" w:rsidRDefault="00460C6F" w:rsidP="00DE296E">
            <w:pPr>
              <w:ind w:left="161"/>
              <w:jc w:val="both"/>
            </w:pPr>
          </w:p>
          <w:p w14:paraId="083EB0F1" w14:textId="01407214" w:rsidR="008441CD" w:rsidRPr="00722D80" w:rsidRDefault="00223491" w:rsidP="00DE296E">
            <w:pPr>
              <w:ind w:left="161"/>
              <w:jc w:val="both"/>
              <w:rPr>
                <w:b/>
                <w:bCs/>
              </w:rPr>
            </w:pPr>
            <w:r w:rsidRPr="00722D80">
              <w:rPr>
                <w:b/>
                <w:bCs/>
              </w:rPr>
              <w:t xml:space="preserve">2.1 Sursa proiectului de act normativ </w:t>
            </w:r>
          </w:p>
          <w:p w14:paraId="456FC1DC" w14:textId="5041B3B9" w:rsidR="00E814A4" w:rsidRDefault="00333B63" w:rsidP="00DE296E">
            <w:pPr>
              <w:ind w:left="161"/>
              <w:jc w:val="both"/>
              <w:rPr>
                <w:i/>
                <w:iCs/>
              </w:rPr>
            </w:pPr>
            <w:r w:rsidRPr="00566D8E">
              <w:t xml:space="preserve">- </w:t>
            </w:r>
            <w:r w:rsidRPr="001256E3">
              <w:t xml:space="preserve">prevederile </w:t>
            </w:r>
            <w:r w:rsidR="005E4ECC" w:rsidRPr="00BA7012">
              <w:rPr>
                <w:i/>
                <w:iCs/>
              </w:rPr>
              <w:t xml:space="preserve">Memorandumului de înțelegere între Islanda, Principatul Liechtenstein, Regatul Norvegiei și Guvernul României pentru implementarea Mecanismului Financiar SEE 2021-2028, </w:t>
            </w:r>
          </w:p>
          <w:p w14:paraId="3E6C714A" w14:textId="4A00F7C5" w:rsidR="00575541" w:rsidRDefault="00575541" w:rsidP="00DE296E">
            <w:pPr>
              <w:ind w:left="161"/>
              <w:jc w:val="both"/>
              <w:rPr>
                <w:i/>
                <w:iCs/>
              </w:rPr>
            </w:pPr>
            <w:r>
              <w:rPr>
                <w:i/>
                <w:iCs/>
              </w:rPr>
              <w:t xml:space="preserve">- </w:t>
            </w:r>
            <w:r w:rsidRPr="001256E3">
              <w:t>prevederile</w:t>
            </w:r>
            <w:r>
              <w:t xml:space="preserve"> </w:t>
            </w:r>
            <w:r w:rsidRPr="00575541">
              <w:rPr>
                <w:i/>
                <w:iCs/>
              </w:rPr>
              <w:t>Memorandumului de înțelegere între Regatul Norvegiei și Guvernul României pentru implementarea Mecanismului Financiar Norvegian 2021-2028</w:t>
            </w:r>
          </w:p>
          <w:p w14:paraId="5E7E3087" w14:textId="77777777" w:rsidR="00C60531" w:rsidRPr="00804574" w:rsidRDefault="00C60531" w:rsidP="00DE296E">
            <w:pPr>
              <w:ind w:left="161"/>
              <w:jc w:val="both"/>
            </w:pPr>
          </w:p>
          <w:p w14:paraId="633D21EB" w14:textId="506AD0A3" w:rsidR="00D270B3" w:rsidRPr="00722D80" w:rsidRDefault="00223491" w:rsidP="00DE296E">
            <w:pPr>
              <w:ind w:left="161"/>
              <w:jc w:val="both"/>
              <w:rPr>
                <w:b/>
                <w:bCs/>
              </w:rPr>
            </w:pPr>
            <w:r w:rsidRPr="00722D80">
              <w:rPr>
                <w:b/>
                <w:bCs/>
              </w:rPr>
              <w:t>2.2 Descrierea situației actuale</w:t>
            </w:r>
          </w:p>
          <w:p w14:paraId="47D62787" w14:textId="7DB7469F" w:rsidR="007911FC" w:rsidRDefault="00DD5A1F" w:rsidP="00DE296E">
            <w:pPr>
              <w:ind w:left="161"/>
              <w:jc w:val="both"/>
            </w:pPr>
            <w:r w:rsidRPr="00566D8E">
              <w:t>Ministerul Investițiilor și Proiectelor Eu</w:t>
            </w:r>
            <w:r w:rsidR="00614EB1" w:rsidRPr="00566D8E">
              <w:t>ropene </w:t>
            </w:r>
            <w:r w:rsidRPr="00566D8E">
              <w:t>este organul de specialitate al </w:t>
            </w:r>
            <w:hyperlink r:id="rId8" w:tooltip="Administrație publică" w:history="1">
              <w:r w:rsidRPr="00566D8E">
                <w:t>administrației publice</w:t>
              </w:r>
            </w:hyperlink>
            <w:r w:rsidRPr="00566D8E">
              <w:t> centrale, în subordinea </w:t>
            </w:r>
            <w:hyperlink r:id="rId9" w:tooltip="Guvernul României" w:history="1">
              <w:r w:rsidRPr="00566D8E">
                <w:t>Guvernului României</w:t>
              </w:r>
            </w:hyperlink>
            <w:r w:rsidRPr="00566D8E">
              <w:t>, prin intermediul căruia sunt gestionate fondurile europene și absorbția acestora venite din partea </w:t>
            </w:r>
            <w:hyperlink r:id="rId10" w:tooltip="Uniunea Europeană" w:history="1">
              <w:r w:rsidRPr="00566D8E">
                <w:t>Comisiei Europene</w:t>
              </w:r>
            </w:hyperlink>
            <w:r w:rsidR="00E77D47" w:rsidRPr="00566D8E">
              <w:t xml:space="preserve"> și totodată are rolul de a intermedia accesul românilor la fondurile europene nerambursabile</w:t>
            </w:r>
            <w:r w:rsidRPr="00566D8E">
              <w:t>.</w:t>
            </w:r>
          </w:p>
          <w:p w14:paraId="62FA8600" w14:textId="77777777" w:rsidR="00E01C62" w:rsidRPr="00566D8E" w:rsidRDefault="00E01C62" w:rsidP="00DE296E">
            <w:pPr>
              <w:ind w:left="161"/>
              <w:jc w:val="both"/>
            </w:pPr>
          </w:p>
          <w:p w14:paraId="2D35F6BC" w14:textId="54E81121" w:rsidR="00460C6F" w:rsidRPr="00566D8E" w:rsidRDefault="00536B5C" w:rsidP="00DE296E">
            <w:pPr>
              <w:ind w:left="161"/>
              <w:jc w:val="both"/>
            </w:pPr>
            <w:r>
              <w:t xml:space="preserve">Astfel, conform prevederilor </w:t>
            </w:r>
            <w:r w:rsidRPr="00536B5C">
              <w:t>Hotărârii Guvernului nr. 52/2018 privind organizarea și funcționarea Ministerului Investițiilor și Proiectelor Europene</w:t>
            </w:r>
            <w:r>
              <w:t xml:space="preserve">, cu modificările și completările ulterioare, </w:t>
            </w:r>
            <w:r w:rsidR="00333B63" w:rsidRPr="00566D8E">
              <w:t xml:space="preserve">Ministerul Investițiilor și Proiectelor Europene exercită funcțiile autorității de management și îndeplinește atribuțiile aferente acesteia, pentru: Programul operațional sectorial «Creșterea competitivității economice», Programul operațional «Competitivitate», Programul operațional sectorial «Dezvoltarea resurselor umane» (POSDRU) 2007-2013, Programul operațional «Dezvoltarea capacității administrative» </w:t>
            </w:r>
          </w:p>
          <w:p w14:paraId="4D86779D" w14:textId="1F85DDA0" w:rsidR="00660C72" w:rsidRDefault="00333B63" w:rsidP="00DE296E">
            <w:pPr>
              <w:ind w:left="161"/>
              <w:jc w:val="both"/>
            </w:pPr>
            <w:r w:rsidRPr="00566D8E">
              <w:t xml:space="preserve">2007-2013, Programul operațional regional 2007-2013, Programul operațional regional 2014-2020, Programul operațional «Capacitate administrativă» 2014-2020, Programul operațional «Capital uman» (POCU) 2014-2020, Programul operațional «Ajutorarea persoanelor defavorizate» (POAD) 2014-2020, Programul operațional «Infrastructura mare» 2014-2020, Programul operațional sectorial «Transport» 2007-2013, Programul operațional sectorial «Mediu» 2007-2013 și Programul operațional «Asistență tehnică» 2007-2013, 2014-2020 și Programul «Asistență tehnică» 2021-2027, Programul ISPA, Programul Dezvoltare durabilă </w:t>
            </w:r>
            <w:r w:rsidR="00E01C62">
              <w:t>și</w:t>
            </w:r>
            <w:r w:rsidRPr="00566D8E">
              <w:t xml:space="preserve"> Tranziție justă 2021-2027 (P</w:t>
            </w:r>
            <w:r w:rsidR="00E01C62">
              <w:t>DD</w:t>
            </w:r>
            <w:r w:rsidRPr="00566D8E">
              <w:t>TJ), Programul Educație și ocupare (PEO) 2021-2027, Programul Incluziune și demnitate socială (PIDS) 2021-2027, Programul Creșterea inteligentă, digitalizare și instrumente financiare (PCIDIF) 2021-2027 și Programul Sănătate (PS).</w:t>
            </w:r>
          </w:p>
          <w:p w14:paraId="7EEDFAE9" w14:textId="77777777" w:rsidR="00E01C62" w:rsidRDefault="00E01C62" w:rsidP="00DE296E">
            <w:pPr>
              <w:ind w:left="161"/>
              <w:jc w:val="both"/>
            </w:pPr>
          </w:p>
          <w:p w14:paraId="2EBC08C8" w14:textId="54B98631" w:rsidR="002A77F9" w:rsidRDefault="002A77F9" w:rsidP="009E2A76">
            <w:pPr>
              <w:ind w:left="161"/>
              <w:jc w:val="both"/>
            </w:pPr>
            <w:r>
              <w:t xml:space="preserve">În forma actuală, </w:t>
            </w:r>
            <w:r w:rsidRPr="00536B5C">
              <w:t>Hotărâr</w:t>
            </w:r>
            <w:r>
              <w:t xml:space="preserve">ea </w:t>
            </w:r>
            <w:r w:rsidRPr="00536B5C">
              <w:t>Guvernului nr. 52/2018 privind organizarea și funcționarea Ministerului Investițiilor și Proiectelor Europene</w:t>
            </w:r>
            <w:r>
              <w:t>, cu modificările și completările ulterioare cuprinde referiri</w:t>
            </w:r>
            <w:r w:rsidR="001557AB">
              <w:t xml:space="preserve"> exprese la Memorandumurile aferente perioadelor de programare 2009-2014 și 2014-2021, fără a include noul cadru financiar 2021-2028</w:t>
            </w:r>
            <w:r w:rsidR="009E30CF">
              <w:t>, după cum urmează:</w:t>
            </w:r>
          </w:p>
          <w:p w14:paraId="3E80BFEC" w14:textId="77777777" w:rsidR="009E30CF" w:rsidRPr="0050369C" w:rsidRDefault="009E30CF" w:rsidP="009E30CF">
            <w:pPr>
              <w:numPr>
                <w:ilvl w:val="0"/>
                <w:numId w:val="5"/>
              </w:numPr>
              <w:spacing w:before="100" w:beforeAutospacing="1" w:after="100" w:afterAutospacing="1"/>
              <w:jc w:val="both"/>
              <w:rPr>
                <w:rFonts w:ascii="Trebuchet MS" w:hAnsi="Trebuchet MS"/>
                <w:lang w:eastAsia="ro-RO"/>
              </w:rPr>
            </w:pPr>
            <w:r w:rsidRPr="0050369C">
              <w:rPr>
                <w:rFonts w:ascii="Trebuchet MS" w:hAnsi="Trebuchet MS"/>
                <w:b/>
                <w:bCs/>
                <w:lang w:eastAsia="ro-RO"/>
              </w:rPr>
              <w:lastRenderedPageBreak/>
              <w:t xml:space="preserve">art. 4 alin. (2) - </w:t>
            </w:r>
            <w:r w:rsidRPr="0050369C">
              <w:rPr>
                <w:rFonts w:ascii="Trebuchet MS" w:hAnsi="Trebuchet MS"/>
                <w:lang w:eastAsia="ro-RO"/>
              </w:rPr>
              <w:t>funcția de operator de program potrivit prevederilor anexei B la Memorandumu</w:t>
            </w:r>
            <w:r>
              <w:rPr>
                <w:rFonts w:ascii="Trebuchet MS" w:hAnsi="Trebuchet MS"/>
                <w:lang w:eastAsia="ro-RO"/>
              </w:rPr>
              <w:t>rile</w:t>
            </w:r>
            <w:r w:rsidRPr="0050369C">
              <w:rPr>
                <w:rFonts w:ascii="Trebuchet MS" w:hAnsi="Trebuchet MS"/>
                <w:lang w:eastAsia="ro-RO"/>
              </w:rPr>
              <w:t xml:space="preserve"> de înțelegere privind</w:t>
            </w:r>
            <w:r w:rsidRPr="00C84745">
              <w:rPr>
                <w:rFonts w:ascii="Trebuchet MS" w:hAnsi="Trebuchet MS"/>
                <w:lang w:eastAsia="ro-RO"/>
              </w:rPr>
              <w:t xml:space="preserve"> implementarea Mecanism</w:t>
            </w:r>
            <w:r>
              <w:rPr>
                <w:rFonts w:ascii="Trebuchet MS" w:hAnsi="Trebuchet MS"/>
                <w:lang w:eastAsia="ro-RO"/>
              </w:rPr>
              <w:t>elor</w:t>
            </w:r>
            <w:r w:rsidRPr="00C84745">
              <w:rPr>
                <w:rFonts w:ascii="Trebuchet MS" w:hAnsi="Trebuchet MS"/>
                <w:lang w:eastAsia="ro-RO"/>
              </w:rPr>
              <w:t xml:space="preserve"> financiar</w:t>
            </w:r>
            <w:r>
              <w:rPr>
                <w:rFonts w:ascii="Trebuchet MS" w:hAnsi="Trebuchet MS"/>
                <w:lang w:eastAsia="ro-RO"/>
              </w:rPr>
              <w:t>e SEE și norvegian</w:t>
            </w:r>
            <w:r w:rsidRPr="00C84745">
              <w:rPr>
                <w:rFonts w:ascii="Trebuchet MS" w:hAnsi="Trebuchet MS"/>
                <w:lang w:eastAsia="ro-RO"/>
              </w:rPr>
              <w:t xml:space="preserve"> </w:t>
            </w:r>
            <w:r>
              <w:rPr>
                <w:rFonts w:ascii="Trebuchet MS" w:hAnsi="Trebuchet MS"/>
                <w:lang w:eastAsia="ro-RO"/>
              </w:rPr>
              <w:t>2009-2014;</w:t>
            </w:r>
          </w:p>
          <w:p w14:paraId="6C4F9361" w14:textId="77777777" w:rsidR="009E30CF" w:rsidRPr="00CD0DF1" w:rsidRDefault="009E30CF" w:rsidP="009E30CF">
            <w:pPr>
              <w:numPr>
                <w:ilvl w:val="0"/>
                <w:numId w:val="5"/>
              </w:numPr>
              <w:spacing w:before="100" w:beforeAutospacing="1" w:after="100" w:afterAutospacing="1"/>
              <w:jc w:val="both"/>
              <w:rPr>
                <w:rFonts w:ascii="Trebuchet MS" w:hAnsi="Trebuchet MS"/>
                <w:lang w:eastAsia="ro-RO"/>
              </w:rPr>
            </w:pPr>
            <w:r w:rsidRPr="00CD0DF1">
              <w:rPr>
                <w:rFonts w:ascii="Trebuchet MS" w:hAnsi="Trebuchet MS"/>
                <w:b/>
                <w:bCs/>
                <w:lang w:eastAsia="ro-RO"/>
              </w:rPr>
              <w:t>art. 4 alin. (3)</w:t>
            </w:r>
            <w:r w:rsidRPr="00CD0DF1">
              <w:rPr>
                <w:rFonts w:ascii="Trebuchet MS" w:hAnsi="Trebuchet MS"/>
                <w:lang w:eastAsia="ro-RO"/>
              </w:rPr>
              <w:t xml:space="preserve"> – funcția de punct național de contact pentru implementarea Mecanism</w:t>
            </w:r>
            <w:r>
              <w:rPr>
                <w:rFonts w:ascii="Trebuchet MS" w:hAnsi="Trebuchet MS"/>
                <w:lang w:eastAsia="ro-RO"/>
              </w:rPr>
              <w:t>elor</w:t>
            </w:r>
            <w:r w:rsidRPr="00CD0DF1">
              <w:rPr>
                <w:rFonts w:ascii="Trebuchet MS" w:hAnsi="Trebuchet MS"/>
                <w:lang w:eastAsia="ro-RO"/>
              </w:rPr>
              <w:t xml:space="preserve"> financiar</w:t>
            </w:r>
            <w:r>
              <w:rPr>
                <w:rFonts w:ascii="Trebuchet MS" w:hAnsi="Trebuchet MS"/>
                <w:lang w:eastAsia="ro-RO"/>
              </w:rPr>
              <w:t>e</w:t>
            </w:r>
            <w:r w:rsidRPr="00CD0DF1">
              <w:rPr>
                <w:rFonts w:ascii="Trebuchet MS" w:hAnsi="Trebuchet MS"/>
                <w:lang w:eastAsia="ro-RO"/>
              </w:rPr>
              <w:t xml:space="preserve"> SEE și norvegi</w:t>
            </w:r>
            <w:r>
              <w:rPr>
                <w:rFonts w:ascii="Trebuchet MS" w:hAnsi="Trebuchet MS"/>
                <w:lang w:eastAsia="ro-RO"/>
              </w:rPr>
              <w:t>e</w:t>
            </w:r>
            <w:r w:rsidRPr="00CD0DF1">
              <w:rPr>
                <w:rFonts w:ascii="Trebuchet MS" w:hAnsi="Trebuchet MS"/>
                <w:lang w:eastAsia="ro-RO"/>
              </w:rPr>
              <w:t>n</w:t>
            </w:r>
            <w:r>
              <w:rPr>
                <w:rFonts w:ascii="Trebuchet MS" w:hAnsi="Trebuchet MS"/>
                <w:lang w:eastAsia="ro-RO"/>
              </w:rPr>
              <w:t>e pentru perioadele anterioare</w:t>
            </w:r>
            <w:r w:rsidRPr="00CD0DF1">
              <w:rPr>
                <w:rFonts w:ascii="Trebuchet MS" w:hAnsi="Trebuchet MS"/>
                <w:lang w:eastAsia="ro-RO"/>
              </w:rPr>
              <w:t>;</w:t>
            </w:r>
          </w:p>
          <w:p w14:paraId="1F6B2DA8" w14:textId="6E4FBCB3" w:rsidR="002102C0" w:rsidRPr="00E71AF3" w:rsidRDefault="009E30CF" w:rsidP="00C62969">
            <w:pPr>
              <w:numPr>
                <w:ilvl w:val="0"/>
                <w:numId w:val="5"/>
              </w:numPr>
              <w:spacing w:before="100" w:beforeAutospacing="1" w:after="100" w:afterAutospacing="1"/>
              <w:jc w:val="both"/>
              <w:rPr>
                <w:rFonts w:ascii="Trebuchet MS" w:hAnsi="Trebuchet MS"/>
                <w:lang w:eastAsia="ro-RO"/>
              </w:rPr>
            </w:pPr>
            <w:r w:rsidRPr="00CD0DF1">
              <w:rPr>
                <w:rFonts w:ascii="Trebuchet MS" w:hAnsi="Trebuchet MS"/>
                <w:lang w:eastAsia="ro-RO"/>
              </w:rPr>
              <w:t xml:space="preserve">prevederi conexe din </w:t>
            </w:r>
            <w:r w:rsidRPr="00CD0DF1">
              <w:rPr>
                <w:rFonts w:ascii="Trebuchet MS" w:hAnsi="Trebuchet MS"/>
                <w:b/>
                <w:bCs/>
                <w:lang w:eastAsia="ro-RO"/>
              </w:rPr>
              <w:t>art. 5 pct. 7, pct. 9 și pct. 15</w:t>
            </w:r>
            <w:r w:rsidRPr="00CD0DF1">
              <w:rPr>
                <w:rFonts w:ascii="Trebuchet MS" w:hAnsi="Trebuchet MS"/>
                <w:lang w:eastAsia="ro-RO"/>
              </w:rPr>
              <w:t xml:space="preserve">, care includ referințe la </w:t>
            </w:r>
            <w:r>
              <w:rPr>
                <w:rFonts w:ascii="Trebuchet MS" w:hAnsi="Trebuchet MS"/>
                <w:lang w:eastAsia="ro-RO"/>
              </w:rPr>
              <w:t>M</w:t>
            </w:r>
            <w:r w:rsidRPr="00CD0DF1">
              <w:rPr>
                <w:rFonts w:ascii="Trebuchet MS" w:hAnsi="Trebuchet MS"/>
                <w:lang w:eastAsia="ro-RO"/>
              </w:rPr>
              <w:t>ecanismele financiare SEE și norvegi</w:t>
            </w:r>
            <w:r>
              <w:rPr>
                <w:rFonts w:ascii="Trebuchet MS" w:hAnsi="Trebuchet MS"/>
                <w:lang w:eastAsia="ro-RO"/>
              </w:rPr>
              <w:t>ene</w:t>
            </w:r>
            <w:r w:rsidRPr="00CD0DF1">
              <w:rPr>
                <w:rFonts w:ascii="Trebuchet MS" w:hAnsi="Trebuchet MS"/>
                <w:lang w:eastAsia="ro-RO"/>
              </w:rPr>
              <w:t xml:space="preserve"> pentru perioadele anterioare.</w:t>
            </w:r>
          </w:p>
          <w:p w14:paraId="761FD372" w14:textId="3DFFA16B" w:rsidR="00073804" w:rsidRPr="00722D80" w:rsidRDefault="00223491" w:rsidP="00DE296E">
            <w:pPr>
              <w:ind w:left="161"/>
              <w:jc w:val="both"/>
              <w:rPr>
                <w:b/>
                <w:bCs/>
              </w:rPr>
            </w:pPr>
            <w:r w:rsidRPr="00722D80">
              <w:rPr>
                <w:b/>
                <w:bCs/>
              </w:rPr>
              <w:t>2.3 Schimbări preconizate</w:t>
            </w:r>
          </w:p>
          <w:p w14:paraId="0E915B59" w14:textId="77777777" w:rsidR="001256E3" w:rsidRDefault="001256E3" w:rsidP="00DE296E">
            <w:pPr>
              <w:ind w:left="161"/>
              <w:jc w:val="both"/>
            </w:pPr>
          </w:p>
          <w:p w14:paraId="7CDD6168" w14:textId="77777777" w:rsidR="001256E3" w:rsidRPr="001256E3" w:rsidRDefault="001256E3" w:rsidP="001256E3">
            <w:pPr>
              <w:spacing w:after="120" w:line="20" w:lineRule="atLeast"/>
              <w:jc w:val="both"/>
            </w:pPr>
            <w:r w:rsidRPr="001256E3">
              <w:t>Având în vedere:</w:t>
            </w:r>
          </w:p>
          <w:p w14:paraId="753213A7" w14:textId="5BD0E0E7" w:rsidR="00C62969" w:rsidRPr="00C62969" w:rsidRDefault="00C62969" w:rsidP="00C62969">
            <w:pPr>
              <w:spacing w:after="120" w:line="20" w:lineRule="atLeast"/>
              <w:jc w:val="both"/>
            </w:pPr>
            <w:r w:rsidRPr="00C62969">
              <w:t xml:space="preserve">Având în vedere semnarea, la data de 13 mai 2026, a Memorandumului de înțelegere privind implementarea Mecanismului financiar al Spațiului Economic European 2021–2028 și a Memorandumului de înțelegere privind implementarea Mecanismului financiar norvegian 2021–2028, </w:t>
            </w:r>
            <w:r>
              <w:t>este</w:t>
            </w:r>
            <w:r w:rsidRPr="00C62969">
              <w:t xml:space="preserve"> necesară </w:t>
            </w:r>
            <w:r>
              <w:t xml:space="preserve">modificarea, în mod corespunzător, a </w:t>
            </w:r>
            <w:r w:rsidRPr="00C62969">
              <w:t>Hotărârii Guvernului nr. 52/2018 privind organizarea și funcționarea Ministerului Investițiilor și Proiectelor Europene, cu modificările și completările ulterioare.</w:t>
            </w:r>
          </w:p>
          <w:p w14:paraId="1D28EB40" w14:textId="6D66415E" w:rsidR="00C62969" w:rsidRPr="00C62969" w:rsidRDefault="00C62969" w:rsidP="00C62969">
            <w:pPr>
              <w:spacing w:after="120" w:line="20" w:lineRule="atLeast"/>
              <w:jc w:val="both"/>
            </w:pPr>
            <w:r w:rsidRPr="00C62969">
              <w:t>În forma actuală, Hotărâr</w:t>
            </w:r>
            <w:r>
              <w:t>ea</w:t>
            </w:r>
            <w:r w:rsidRPr="00C62969">
              <w:t xml:space="preserve"> Guvernului nr. 52/2018 cuprinde referiri exprese la Memorandumurile aferente perioadelor de programare 2009–2014 și 2014–2021, fără a include noul cadru financiar 2021–2028, după cum urmează:</w:t>
            </w:r>
          </w:p>
          <w:p w14:paraId="45D5BA36" w14:textId="77777777" w:rsidR="00C62969" w:rsidRPr="00C62969" w:rsidRDefault="00C62969" w:rsidP="00C62969">
            <w:pPr>
              <w:pStyle w:val="ListParagraph"/>
              <w:numPr>
                <w:ilvl w:val="0"/>
                <w:numId w:val="6"/>
              </w:numPr>
              <w:spacing w:after="120" w:line="20" w:lineRule="atLeast"/>
              <w:jc w:val="both"/>
              <w:rPr>
                <w:rFonts w:ascii="Times New Roman" w:eastAsia="Times New Roman" w:hAnsi="Times New Roman" w:cs="Times New Roman"/>
              </w:rPr>
            </w:pPr>
            <w:r w:rsidRPr="00C62969">
              <w:rPr>
                <w:rFonts w:ascii="Times New Roman" w:eastAsia="Times New Roman" w:hAnsi="Times New Roman" w:cs="Times New Roman"/>
              </w:rPr>
              <w:t>art. 4 alin. (2) - funcția de operator de program potrivit prevederilor anexei B la Memorandumurile de înțelegere privind implementarea Mecanismelor financiare SEE și norvegian 2009-2014;</w:t>
            </w:r>
          </w:p>
          <w:p w14:paraId="335579CB" w14:textId="77777777" w:rsidR="00C62969" w:rsidRPr="00C62969" w:rsidRDefault="00C62969" w:rsidP="00C62969">
            <w:pPr>
              <w:pStyle w:val="ListParagraph"/>
              <w:numPr>
                <w:ilvl w:val="0"/>
                <w:numId w:val="6"/>
              </w:numPr>
              <w:spacing w:after="120" w:line="20" w:lineRule="atLeast"/>
              <w:jc w:val="both"/>
              <w:rPr>
                <w:rFonts w:ascii="Times New Roman" w:eastAsia="Times New Roman" w:hAnsi="Times New Roman" w:cs="Times New Roman"/>
              </w:rPr>
            </w:pPr>
            <w:r w:rsidRPr="00C62969">
              <w:rPr>
                <w:rFonts w:ascii="Times New Roman" w:eastAsia="Times New Roman" w:hAnsi="Times New Roman" w:cs="Times New Roman"/>
              </w:rPr>
              <w:t>art. 4 alin. (3) – funcția de punct național de contact pentru implementarea Mecanismelor financiare SEE și norvegiene pentru perioadele anterioare;</w:t>
            </w:r>
          </w:p>
          <w:p w14:paraId="712E21DB" w14:textId="77777777" w:rsidR="00C62969" w:rsidRPr="00C62969" w:rsidRDefault="00C62969" w:rsidP="00C62969">
            <w:pPr>
              <w:pStyle w:val="ListParagraph"/>
              <w:numPr>
                <w:ilvl w:val="0"/>
                <w:numId w:val="6"/>
              </w:numPr>
              <w:spacing w:after="120" w:line="20" w:lineRule="atLeast"/>
              <w:jc w:val="both"/>
              <w:rPr>
                <w:rFonts w:ascii="Times New Roman" w:eastAsia="Times New Roman" w:hAnsi="Times New Roman" w:cs="Times New Roman"/>
              </w:rPr>
            </w:pPr>
            <w:r w:rsidRPr="00C62969">
              <w:rPr>
                <w:rFonts w:ascii="Times New Roman" w:eastAsia="Times New Roman" w:hAnsi="Times New Roman" w:cs="Times New Roman"/>
              </w:rPr>
              <w:t>prevederi conexe din art. 5 pct. 7, pct. 9 și pct. 15, care includ referințe la Mecanismele financiare SEE și norvegiene pentru perioadele anterioare.</w:t>
            </w:r>
          </w:p>
          <w:p w14:paraId="10059F76" w14:textId="69D038D1" w:rsidR="00BC7C24" w:rsidRDefault="00BC7C24" w:rsidP="00BC7C24">
            <w:pPr>
              <w:spacing w:before="100" w:beforeAutospacing="1" w:after="100" w:afterAutospacing="1"/>
              <w:jc w:val="both"/>
            </w:pPr>
            <w:r w:rsidRPr="00BC7C24">
              <w:t>În acest context, propunem introducer</w:t>
            </w:r>
            <w:r>
              <w:t xml:space="preserve">ea </w:t>
            </w:r>
            <w:r w:rsidR="00DE0317">
              <w:t xml:space="preserve">în tot cuprinsul actului normativ a </w:t>
            </w:r>
            <w:r w:rsidRPr="00BC7C24">
              <w:t xml:space="preserve">referințelor la Mecanismul financiar al Spațiului Economic European 2021–2028 și </w:t>
            </w:r>
            <w:r w:rsidR="00DE0317">
              <w:t xml:space="preserve">la </w:t>
            </w:r>
            <w:r w:rsidRPr="00BC7C24">
              <w:t>Mecanismul financiar norvegian 2021–2028.</w:t>
            </w:r>
          </w:p>
          <w:p w14:paraId="3AF8CCB7" w14:textId="77777777" w:rsidR="001734CB" w:rsidRPr="001734CB" w:rsidRDefault="001734CB" w:rsidP="001734CB">
            <w:pPr>
              <w:spacing w:before="100" w:beforeAutospacing="1" w:after="100" w:afterAutospacing="1"/>
              <w:jc w:val="both"/>
            </w:pPr>
            <w:r w:rsidRPr="001734CB">
              <w:t xml:space="preserve">Pentru perioada de programare 2021-2028, România beneficiază de o alocare financiară brută totală de aproximativ </w:t>
            </w:r>
            <w:r w:rsidRPr="001734CB">
              <w:rPr>
                <w:bCs/>
              </w:rPr>
              <w:t>597 milioane euro</w:t>
            </w:r>
            <w:r w:rsidRPr="001734CB">
              <w:t xml:space="preserve"> (292 milioane prin Mecanismul financiar Norvegian și 305 milioane Euro prin Mecanismul financiar SEE). Cele două Memorandumuri de Înțelegere conțin prevederi legate de cele nouă programe de finanțare stabilite, respectiv: </w:t>
            </w:r>
          </w:p>
          <w:p w14:paraId="75D24C70" w14:textId="77777777" w:rsidR="001734CB" w:rsidRPr="001734CB" w:rsidRDefault="001734CB" w:rsidP="001734CB">
            <w:pPr>
              <w:numPr>
                <w:ilvl w:val="0"/>
                <w:numId w:val="9"/>
              </w:numPr>
              <w:spacing w:before="100" w:beforeAutospacing="1" w:after="100" w:afterAutospacing="1"/>
              <w:jc w:val="both"/>
            </w:pPr>
            <w:r w:rsidRPr="001734CB">
              <w:t>Tranziție verde,</w:t>
            </w:r>
          </w:p>
          <w:p w14:paraId="1FCB5B3A" w14:textId="77777777" w:rsidR="001734CB" w:rsidRPr="001734CB" w:rsidRDefault="001734CB" w:rsidP="001734CB">
            <w:pPr>
              <w:numPr>
                <w:ilvl w:val="0"/>
                <w:numId w:val="9"/>
              </w:numPr>
              <w:spacing w:before="100" w:beforeAutospacing="1" w:after="100" w:afterAutospacing="1"/>
              <w:jc w:val="both"/>
            </w:pPr>
            <w:r w:rsidRPr="001734CB">
              <w:t>Dezvoltare locală,</w:t>
            </w:r>
          </w:p>
          <w:p w14:paraId="57778155" w14:textId="77777777" w:rsidR="001734CB" w:rsidRPr="001734CB" w:rsidRDefault="001734CB" w:rsidP="001734CB">
            <w:pPr>
              <w:numPr>
                <w:ilvl w:val="0"/>
                <w:numId w:val="9"/>
              </w:numPr>
              <w:spacing w:before="100" w:beforeAutospacing="1" w:after="100" w:afterAutospacing="1"/>
              <w:jc w:val="both"/>
            </w:pPr>
            <w:r w:rsidRPr="001734CB">
              <w:t>Tranziție către energie curată,</w:t>
            </w:r>
          </w:p>
          <w:p w14:paraId="1EA97BBD" w14:textId="77777777" w:rsidR="001734CB" w:rsidRPr="001734CB" w:rsidRDefault="001734CB" w:rsidP="001734CB">
            <w:pPr>
              <w:numPr>
                <w:ilvl w:val="0"/>
                <w:numId w:val="9"/>
              </w:numPr>
              <w:spacing w:before="100" w:beforeAutospacing="1" w:after="100" w:afterAutospacing="1"/>
              <w:jc w:val="both"/>
            </w:pPr>
            <w:r w:rsidRPr="001734CB">
              <w:t>Cercetare și inovare,</w:t>
            </w:r>
          </w:p>
          <w:p w14:paraId="66FCBDAD" w14:textId="77777777" w:rsidR="001734CB" w:rsidRPr="001734CB" w:rsidRDefault="001734CB" w:rsidP="001734CB">
            <w:pPr>
              <w:numPr>
                <w:ilvl w:val="0"/>
                <w:numId w:val="9"/>
              </w:numPr>
              <w:spacing w:before="100" w:beforeAutospacing="1" w:after="100" w:afterAutospacing="1"/>
              <w:jc w:val="both"/>
            </w:pPr>
            <w:r w:rsidRPr="001734CB">
              <w:t>Afaceri verzi și inovare,</w:t>
            </w:r>
          </w:p>
          <w:p w14:paraId="090582A6" w14:textId="77777777" w:rsidR="001734CB" w:rsidRPr="001734CB" w:rsidRDefault="001734CB" w:rsidP="001734CB">
            <w:pPr>
              <w:numPr>
                <w:ilvl w:val="0"/>
                <w:numId w:val="9"/>
              </w:numPr>
              <w:spacing w:before="100" w:beforeAutospacing="1" w:after="100" w:afterAutospacing="1"/>
              <w:jc w:val="both"/>
            </w:pPr>
            <w:r w:rsidRPr="001734CB">
              <w:t>Cultură,</w:t>
            </w:r>
          </w:p>
          <w:p w14:paraId="3371C3E4" w14:textId="77777777" w:rsidR="001734CB" w:rsidRPr="001734CB" w:rsidRDefault="001734CB" w:rsidP="001734CB">
            <w:pPr>
              <w:numPr>
                <w:ilvl w:val="0"/>
                <w:numId w:val="9"/>
              </w:numPr>
              <w:spacing w:before="100" w:beforeAutospacing="1" w:after="100" w:afterAutospacing="1"/>
              <w:jc w:val="both"/>
            </w:pPr>
            <w:r w:rsidRPr="001734CB">
              <w:t>Justiție,</w:t>
            </w:r>
          </w:p>
          <w:p w14:paraId="2E74D467" w14:textId="77777777" w:rsidR="001734CB" w:rsidRPr="001734CB" w:rsidRDefault="001734CB" w:rsidP="001734CB">
            <w:pPr>
              <w:numPr>
                <w:ilvl w:val="0"/>
                <w:numId w:val="9"/>
              </w:numPr>
              <w:spacing w:before="100" w:beforeAutospacing="1" w:after="100" w:afterAutospacing="1"/>
              <w:jc w:val="both"/>
            </w:pPr>
            <w:r w:rsidRPr="001734CB">
              <w:t>Afaceri interne,</w:t>
            </w:r>
          </w:p>
          <w:p w14:paraId="53052D56" w14:textId="77777777" w:rsidR="001734CB" w:rsidRPr="001734CB" w:rsidRDefault="001734CB" w:rsidP="001734CB">
            <w:pPr>
              <w:numPr>
                <w:ilvl w:val="0"/>
                <w:numId w:val="9"/>
              </w:numPr>
              <w:spacing w:before="100" w:beforeAutospacing="1" w:after="100" w:afterAutospacing="1"/>
              <w:jc w:val="both"/>
            </w:pPr>
            <w:r w:rsidRPr="001734CB">
              <w:t>Cooperare instituțională  și creșterea capacității,</w:t>
            </w:r>
          </w:p>
          <w:p w14:paraId="08A925BF" w14:textId="77777777" w:rsidR="001734CB" w:rsidRPr="001734CB" w:rsidRDefault="001734CB" w:rsidP="001734CB">
            <w:pPr>
              <w:spacing w:before="100" w:beforeAutospacing="1" w:after="100" w:afterAutospacing="1"/>
              <w:jc w:val="both"/>
              <w:rPr>
                <w:bCs/>
              </w:rPr>
            </w:pPr>
            <w:r w:rsidRPr="001734CB">
              <w:rPr>
                <w:bCs/>
              </w:rPr>
              <w:t>precum și alocări aferente fondului pentru relații bilaterale și asistență tehnică.</w:t>
            </w:r>
          </w:p>
          <w:p w14:paraId="02BF16D4" w14:textId="77777777" w:rsidR="001734CB" w:rsidRDefault="001734CB" w:rsidP="001734CB">
            <w:pPr>
              <w:spacing w:before="100" w:beforeAutospacing="1" w:after="100" w:afterAutospacing="1"/>
              <w:jc w:val="both"/>
            </w:pPr>
          </w:p>
          <w:p w14:paraId="5D9B89AA" w14:textId="0B7AD5D2" w:rsidR="001734CB" w:rsidRDefault="001734CB" w:rsidP="001734CB">
            <w:pPr>
              <w:spacing w:before="100" w:beforeAutospacing="1" w:after="100" w:afterAutospacing="1"/>
              <w:jc w:val="both"/>
              <w:rPr>
                <w:b/>
                <w:bCs/>
                <w:i/>
                <w:iCs/>
              </w:rPr>
            </w:pPr>
            <w:r w:rsidRPr="001734CB">
              <w:rPr>
                <w:b/>
                <w:bCs/>
                <w:i/>
                <w:iCs/>
              </w:rPr>
              <w:lastRenderedPageBreak/>
              <w:t>Referitor la Memorandumul</w:t>
            </w:r>
            <w:r w:rsidR="008D72AA">
              <w:rPr>
                <w:b/>
                <w:bCs/>
                <w:i/>
                <w:iCs/>
              </w:rPr>
              <w:t xml:space="preserve"> </w:t>
            </w:r>
            <w:r w:rsidR="008D72AA" w:rsidRPr="008D72AA">
              <w:rPr>
                <w:b/>
                <w:bCs/>
                <w:i/>
                <w:iCs/>
              </w:rPr>
              <w:t xml:space="preserve">de înțelegere privind implementarea Mecanismului </w:t>
            </w:r>
            <w:r w:rsidR="008D72AA">
              <w:rPr>
                <w:b/>
                <w:bCs/>
                <w:i/>
                <w:iCs/>
              </w:rPr>
              <w:t>F</w:t>
            </w:r>
            <w:r w:rsidR="008D72AA" w:rsidRPr="008D72AA">
              <w:rPr>
                <w:b/>
                <w:bCs/>
                <w:i/>
                <w:iCs/>
              </w:rPr>
              <w:t>inanciar al Spațiului Economic European 2021–2028</w:t>
            </w:r>
            <w:r w:rsidR="0092254F">
              <w:rPr>
                <w:b/>
                <w:bCs/>
                <w:i/>
                <w:iCs/>
              </w:rPr>
              <w:t xml:space="preserve"> – </w:t>
            </w:r>
            <w:r w:rsidR="0092254F" w:rsidRPr="0092254F">
              <w:rPr>
                <w:b/>
                <w:bCs/>
                <w:i/>
                <w:iCs/>
              </w:rPr>
              <w:t>Acord semnat între Islanda, Principatul Liechtenstein și Regatul Norvegiei și Uniunea Europeană privind Mecanismul Financiar SEE pentru perioada 2021-2028</w:t>
            </w:r>
          </w:p>
          <w:p w14:paraId="324DC181" w14:textId="77777777" w:rsidR="00ED7484" w:rsidRPr="001734CB" w:rsidRDefault="00ED7484" w:rsidP="00ED7484">
            <w:pPr>
              <w:spacing w:before="100" w:beforeAutospacing="1" w:after="100" w:afterAutospacing="1"/>
              <w:jc w:val="both"/>
            </w:pPr>
            <w:r w:rsidRPr="001734CB">
              <w:t xml:space="preserve">Prin aplicarea acestui acord, România va beneficia de asistență financiară acordată de Islanda, Liechtenstein și Norvegia pentru susținerea coeziunii economice și sociale în Europa prin creștere economică și dezvoltare durabilă și </w:t>
            </w:r>
            <w:r w:rsidRPr="008D72AA">
              <w:rPr>
                <w:bCs/>
              </w:rPr>
              <w:t xml:space="preserve">consolidarea relațiilor bilaterale între România și Norvegia prin Mecanismul Financiar SEE (granturile SEE), în valoare brută de </w:t>
            </w:r>
            <w:r w:rsidRPr="001734CB">
              <w:rPr>
                <w:bCs/>
              </w:rPr>
              <w:t>304,64 milioane euro.</w:t>
            </w:r>
            <w:r w:rsidRPr="008D72AA">
              <w:rPr>
                <w:bCs/>
              </w:rPr>
              <w:t xml:space="preserve"> Conform Regulamentului de implementare a acestui mecanism de finanțare, data limită de eligibilitate</w:t>
            </w:r>
            <w:r w:rsidRPr="001734CB">
              <w:t xml:space="preserve"> a cheltuielilor aferente proiectelor este 30 aprilie 2031.</w:t>
            </w:r>
            <w:r w:rsidRPr="001734CB">
              <w:rPr>
                <w:b/>
                <w:bCs/>
              </w:rPr>
              <w:t xml:space="preserve"> </w:t>
            </w:r>
          </w:p>
          <w:p w14:paraId="6C052F61" w14:textId="77777777" w:rsidR="00ED7484" w:rsidRPr="001734CB" w:rsidRDefault="00ED7484" w:rsidP="00ED7484">
            <w:pPr>
              <w:spacing w:before="100" w:beforeAutospacing="1" w:after="100" w:afterAutospacing="1"/>
              <w:jc w:val="both"/>
            </w:pPr>
            <w:r>
              <w:t>Astfel</w:t>
            </w:r>
            <w:r w:rsidRPr="001734CB">
              <w:t>, a fost aprobat Memorandumul cu tema “</w:t>
            </w:r>
            <w:r w:rsidRPr="001734CB">
              <w:rPr>
                <w:bCs/>
                <w:iCs/>
              </w:rPr>
              <w:t>Inițierea negocierilor privind viitoarele programe de asistență nerambursabilă aferente Mecanismelor financiare SEE și norvegian pentru perioada 2021-2028</w:t>
            </w:r>
            <w:r w:rsidRPr="001734CB">
              <w:rPr>
                <w:i/>
              </w:rPr>
              <w:t xml:space="preserve">”, </w:t>
            </w:r>
            <w:r w:rsidRPr="001734CB">
              <w:t>prin care a fost acordat</w:t>
            </w:r>
            <w:r w:rsidRPr="001734CB">
              <w:rPr>
                <w:i/>
              </w:rPr>
              <w:t xml:space="preserve"> </w:t>
            </w:r>
            <w:r w:rsidRPr="001734CB">
              <w:t xml:space="preserve">mandatul de coordonare a negocierilor la nivelul ministrului investițiilor și proiectelor europene. </w:t>
            </w:r>
          </w:p>
          <w:p w14:paraId="1DF77AF3" w14:textId="77777777" w:rsidR="00ED7484" w:rsidRPr="001734CB" w:rsidRDefault="00ED7484" w:rsidP="00ED7484">
            <w:pPr>
              <w:spacing w:before="100" w:beforeAutospacing="1" w:after="100" w:afterAutospacing="1"/>
              <w:jc w:val="both"/>
            </w:pPr>
            <w:r w:rsidRPr="001734CB">
              <w:t>În baza prevederilor acestui Memorandum, inclusiv a priorităților stabilite, Ministerul Investițiilor și Proiectelor Europene prin Direcția Generală Asistență Tehnică și Mecanisme Financiare, sub coordonarea ministrului investițiilor și proiectelor europene și în consultare cu instituțiile române implicate, a derulat negocierile cu statele donatoare pentru stabilirea prevederilor specifice ale Memorandumului de înțelegere privind implementarea Mecanismului Financiar SEE 2021-2028 în România, respectiv definirea cadrului instituțional național de management și control și a cadrului de implementare.</w:t>
            </w:r>
          </w:p>
          <w:p w14:paraId="3A348688" w14:textId="77777777" w:rsidR="00ED7484" w:rsidRPr="001734CB" w:rsidRDefault="00ED7484" w:rsidP="00ED7484">
            <w:pPr>
              <w:spacing w:before="100" w:beforeAutospacing="1" w:after="100" w:afterAutospacing="1"/>
              <w:jc w:val="both"/>
            </w:pPr>
            <w:r w:rsidRPr="001734CB">
              <w:t>Prevederile generale ale Memorandumului de înțelegere sunt stabilite ca anexă la Regulamentul de implementare a Mecanismului Financiar SEE 2021-2028.</w:t>
            </w:r>
          </w:p>
          <w:p w14:paraId="0C19E979" w14:textId="77777777" w:rsidR="00ED7484" w:rsidRPr="001734CB" w:rsidRDefault="00ED7484" w:rsidP="00ED7484">
            <w:pPr>
              <w:spacing w:before="100" w:beforeAutospacing="1" w:after="100" w:afterAutospacing="1"/>
              <w:jc w:val="both"/>
              <w:rPr>
                <w:i/>
              </w:rPr>
            </w:pPr>
            <w:r w:rsidRPr="001734CB">
              <w:t xml:space="preserve">În cadrul Anexei A la Memorandumul de înțelegere, sunt definite instituțiile române ce îndeplinesc rolurile de Punct Național de Contact (PNC), Autoritate de Certificare (AC) și Autoritate de Audit (AA), atribuțiile și responsabilitățile specifice acestora fiind prevăzute în Regulamentul de implementare a Mecanismului Financiar SEE 2021-2028. </w:t>
            </w:r>
          </w:p>
          <w:p w14:paraId="03347004" w14:textId="14CA982C" w:rsidR="00ED7484" w:rsidRDefault="00ED7484" w:rsidP="00ED7484">
            <w:pPr>
              <w:spacing w:before="100" w:beforeAutospacing="1" w:after="100" w:afterAutospacing="1"/>
              <w:jc w:val="both"/>
            </w:pPr>
            <w:r w:rsidRPr="001734CB">
              <w:t>În cadrul Anexei B</w:t>
            </w:r>
            <w:r w:rsidRPr="001734CB">
              <w:rPr>
                <w:i/>
              </w:rPr>
              <w:t xml:space="preserve"> </w:t>
            </w:r>
            <w:r w:rsidRPr="001734CB">
              <w:t xml:space="preserve">sunt definite programele ce se vor implementa, Operatorii de Program și Partenerii de Program desemnați, ale căror atribuții și responsabilități specifice sunt prevăzute în Regulamentul de implementare a Mecanismului Financiar SEE 2021-2028, alocarea financiară, obiectivele, condițiile specifice, domeniile de interes specifice și proiectele predefinite pentru fiecare program. </w:t>
            </w:r>
          </w:p>
          <w:p w14:paraId="3A9F82F7" w14:textId="6BDAFE4F" w:rsidR="001734CB" w:rsidRDefault="001734CB" w:rsidP="001734CB">
            <w:pPr>
              <w:spacing w:before="100" w:beforeAutospacing="1" w:after="100" w:afterAutospacing="1"/>
              <w:jc w:val="both"/>
              <w:rPr>
                <w:b/>
                <w:bCs/>
                <w:i/>
                <w:iCs/>
              </w:rPr>
            </w:pPr>
            <w:r w:rsidRPr="001734CB">
              <w:rPr>
                <w:b/>
                <w:bCs/>
                <w:i/>
                <w:iCs/>
              </w:rPr>
              <w:t xml:space="preserve">Referitor la Memorandumul de înțelegere privind implementarea Mecanismului </w:t>
            </w:r>
            <w:r w:rsidR="008D72AA">
              <w:rPr>
                <w:b/>
                <w:bCs/>
                <w:i/>
                <w:iCs/>
              </w:rPr>
              <w:t>F</w:t>
            </w:r>
            <w:r w:rsidRPr="001734CB">
              <w:rPr>
                <w:b/>
                <w:bCs/>
                <w:i/>
                <w:iCs/>
              </w:rPr>
              <w:t xml:space="preserve">inanciar </w:t>
            </w:r>
            <w:r w:rsidR="008D72AA">
              <w:rPr>
                <w:b/>
                <w:bCs/>
                <w:i/>
                <w:iCs/>
              </w:rPr>
              <w:t>N</w:t>
            </w:r>
            <w:r w:rsidRPr="001734CB">
              <w:rPr>
                <w:b/>
                <w:bCs/>
                <w:i/>
                <w:iCs/>
              </w:rPr>
              <w:t>orvegian 2021–2028</w:t>
            </w:r>
            <w:r w:rsidR="00E87F24">
              <w:rPr>
                <w:b/>
                <w:bCs/>
                <w:i/>
                <w:iCs/>
              </w:rPr>
              <w:t xml:space="preserve"> – </w:t>
            </w:r>
            <w:r w:rsidR="00E87F24" w:rsidRPr="00E87F24">
              <w:rPr>
                <w:b/>
                <w:bCs/>
                <w:i/>
                <w:iCs/>
              </w:rPr>
              <w:t>Acord</w:t>
            </w:r>
            <w:r w:rsidR="00E87F24">
              <w:rPr>
                <w:b/>
                <w:bCs/>
                <w:i/>
                <w:iCs/>
              </w:rPr>
              <w:t xml:space="preserve"> semnat </w:t>
            </w:r>
            <w:r w:rsidR="00E87F24" w:rsidRPr="00E87F24">
              <w:rPr>
                <w:b/>
                <w:bCs/>
                <w:i/>
                <w:iCs/>
              </w:rPr>
              <w:t>între Regatul Norvegiei și Uniunea Europeană privind Mecanismul Financiar Norvegian pentru perioada 2021-2028</w:t>
            </w:r>
          </w:p>
          <w:p w14:paraId="7D0904EF" w14:textId="77777777" w:rsidR="00ED7484" w:rsidRPr="008D72AA" w:rsidRDefault="00ED7484" w:rsidP="00ED7484">
            <w:pPr>
              <w:spacing w:before="100" w:beforeAutospacing="1" w:after="100" w:afterAutospacing="1"/>
              <w:jc w:val="both"/>
              <w:rPr>
                <w:bCs/>
              </w:rPr>
            </w:pPr>
            <w:r w:rsidRPr="008D72AA">
              <w:rPr>
                <w:bCs/>
              </w:rPr>
              <w:t>Prin aplicarea acestui acord, România poate beneficia de asistență financiară acordată de Norvegia pentru susținerea coeziunii economice și sociale în Europa prin creștere economică și dezvoltare durabilă și consolidarea relațiilor bilaterale între România și Norvegia prin Mecanismul Financiar Norvegian (Granturile Norvegiene), în valoare brută de 291,61 milioane euro. Conform Regulamentului de implementare a acestui mecanism de finanțare, data limită de eligibilitate a cheltuielilor aferente proiectelor este 30 aprilie 2031.</w:t>
            </w:r>
          </w:p>
          <w:p w14:paraId="5E0F38D0" w14:textId="77777777" w:rsidR="00ED7484" w:rsidRPr="008D72AA" w:rsidRDefault="00ED7484" w:rsidP="00ED7484">
            <w:pPr>
              <w:spacing w:before="100" w:beforeAutospacing="1" w:after="100" w:afterAutospacing="1"/>
              <w:jc w:val="both"/>
              <w:rPr>
                <w:bCs/>
              </w:rPr>
            </w:pPr>
            <w:r>
              <w:rPr>
                <w:bCs/>
              </w:rPr>
              <w:t>Astfel,</w:t>
            </w:r>
            <w:r w:rsidRPr="008D72AA">
              <w:rPr>
                <w:bCs/>
              </w:rPr>
              <w:t xml:space="preserve"> a fost aprobat Memorandumul cu tema “Inițierea negocierilor privind viitoarele programe de asistență nerambursabilă aferente Mecanismelor Financiare SEE și Norvegian pentru perioada 2021-2028”, prin care a fost acordat mandatul de coordonare a negocierilor la nivelul ministrului investițiilor și proiectelor europene. </w:t>
            </w:r>
          </w:p>
          <w:p w14:paraId="0903644C" w14:textId="77777777" w:rsidR="00ED7484" w:rsidRPr="008D72AA" w:rsidRDefault="00ED7484" w:rsidP="00ED7484">
            <w:pPr>
              <w:spacing w:before="100" w:beforeAutospacing="1" w:after="100" w:afterAutospacing="1"/>
              <w:jc w:val="both"/>
              <w:rPr>
                <w:bCs/>
              </w:rPr>
            </w:pPr>
            <w:r w:rsidRPr="008D72AA">
              <w:rPr>
                <w:bCs/>
              </w:rPr>
              <w:t xml:space="preserve">În baza prevederilor acestui Memorandum, inclusiv a priorităților stabilite, Ministerul Investițiilor și Proiectelor Europene prin Direcția Generală Asistență Tehnică și Mecanisme Financiare, sub coordonarea ministrului investițiilor și proiectelor europene și în consultare cu instituțiile române implicate, a derulat negocierile cu statul donator pentru stabilirea prevederilor specifice ale Memorandumului de înțelegere privind implementarea </w:t>
            </w:r>
            <w:r w:rsidRPr="008D72AA">
              <w:rPr>
                <w:bCs/>
              </w:rPr>
              <w:lastRenderedPageBreak/>
              <w:t>Mecanismului Financiar Norvegian 2021-2028 în România, respectiv definirea cadrului instituțional național de management și control și a cadrului de implementare.</w:t>
            </w:r>
          </w:p>
          <w:p w14:paraId="622B7E31" w14:textId="77777777" w:rsidR="00ED7484" w:rsidRPr="008D72AA" w:rsidRDefault="00ED7484" w:rsidP="00ED7484">
            <w:pPr>
              <w:spacing w:before="100" w:beforeAutospacing="1" w:after="100" w:afterAutospacing="1"/>
              <w:jc w:val="both"/>
              <w:rPr>
                <w:bCs/>
              </w:rPr>
            </w:pPr>
            <w:r w:rsidRPr="008D72AA">
              <w:rPr>
                <w:bCs/>
              </w:rPr>
              <w:t>Prevederile generale ale Memorandumului de înțelegere sunt stabilite ca anexă la Regulamentul de implementare a Mecanismului Financiar Norvegian 2021-2028.</w:t>
            </w:r>
          </w:p>
          <w:p w14:paraId="3994FBB0" w14:textId="77777777" w:rsidR="00ED7484" w:rsidRPr="008D72AA" w:rsidRDefault="00ED7484" w:rsidP="00ED7484">
            <w:pPr>
              <w:spacing w:before="100" w:beforeAutospacing="1" w:after="100" w:afterAutospacing="1"/>
              <w:jc w:val="both"/>
              <w:rPr>
                <w:bCs/>
              </w:rPr>
            </w:pPr>
            <w:r w:rsidRPr="008D72AA">
              <w:rPr>
                <w:bCs/>
              </w:rPr>
              <w:t xml:space="preserve">În cadrul Anexei A la Memorandumul de înțelegere mai sus menționat, sunt definite instituțiile române ce îndeplinesc rolurile de Punct Național de Contact (PNC), Autoritate de Certificare (AC) și Autoritate de Audit (AA), atribuțiile și responsabilitățile specifice acestora fiind prevăzute în Regulamentul de implementare a Mecanismului Financiar Norvegian 2021-2028. </w:t>
            </w:r>
          </w:p>
          <w:p w14:paraId="556E2D35" w14:textId="7EC926DD" w:rsidR="00AE627E" w:rsidRPr="00AE627E" w:rsidRDefault="00ED7484" w:rsidP="00AE627E">
            <w:pPr>
              <w:spacing w:before="100" w:beforeAutospacing="1" w:after="100" w:afterAutospacing="1"/>
              <w:jc w:val="both"/>
              <w:rPr>
                <w:bCs/>
              </w:rPr>
            </w:pPr>
            <w:r w:rsidRPr="008D72AA">
              <w:rPr>
                <w:bCs/>
              </w:rPr>
              <w:t xml:space="preserve">În cadrul Anexei B sunt definite programele ce se vor implementa, Operatorii de Program și Partenerii de Program desemnați, ale căror atribuții și responsabilități specifice sunt prevăzute în Regulamentul de implementare a Mecanismului Financiar Norvegian 2021-2028, alocarea financiară, obiectivele, condițiile specifice, domeniile de interes specifice și proiectele predefinite pentru fiecare program. </w:t>
            </w:r>
          </w:p>
          <w:p w14:paraId="3E4C4E42" w14:textId="77777777" w:rsidR="00AE627E" w:rsidRDefault="00F812DE" w:rsidP="00AE627E">
            <w:pPr>
              <w:jc w:val="both"/>
            </w:pPr>
            <w:r w:rsidRPr="00AE627E">
              <w:t>Prin urmare, față de elementele sus-menționate este necesară modificarea</w:t>
            </w:r>
            <w:r w:rsidR="00992E15" w:rsidRPr="00AE627E">
              <w:t xml:space="preserve"> Hotărârii Guvernului nr. 52/2018</w:t>
            </w:r>
            <w:r w:rsidRPr="00AE627E">
              <w:t xml:space="preserve"> </w:t>
            </w:r>
            <w:r w:rsidR="00992E15" w:rsidRPr="00AE627E">
              <w:t>privind organizarea și funcționarea Ministerului Investițiilor și Proiectelor Europene, cu modificările și completările ulterioare</w:t>
            </w:r>
            <w:r w:rsidR="00AE627E" w:rsidRPr="00AE627E">
              <w:t xml:space="preserve">. </w:t>
            </w:r>
            <w:r w:rsidR="00AE627E">
              <w:t xml:space="preserve">Prin această modificare, sunt respectate prevederile </w:t>
            </w:r>
            <w:r w:rsidR="00AE627E" w:rsidRPr="00A67D2F">
              <w:t>art.</w:t>
            </w:r>
            <w:r w:rsidR="00AE627E">
              <w:t xml:space="preserve"> </w:t>
            </w:r>
            <w:r w:rsidR="00AE627E" w:rsidRPr="00A67D2F">
              <w:t>518</w:t>
            </w:r>
            <w:r w:rsidR="00AE627E">
              <w:t xml:space="preserve"> </w:t>
            </w:r>
            <w:r w:rsidR="00AE627E" w:rsidRPr="00A67D2F">
              <w:t>și 562 din Ordonanța de urgență a Guvernului nr.</w:t>
            </w:r>
            <w:r w:rsidR="00AE627E">
              <w:t xml:space="preserve"> </w:t>
            </w:r>
            <w:r w:rsidR="00AE627E" w:rsidRPr="00A67D2F">
              <w:t>57/2019</w:t>
            </w:r>
            <w:r w:rsidR="00AE627E">
              <w:t xml:space="preserve"> privind Codul administrativ</w:t>
            </w:r>
            <w:r w:rsidR="00AE627E" w:rsidRPr="00A67D2F">
              <w:t>, cu modificările și completările ulterioare</w:t>
            </w:r>
            <w:r w:rsidR="00AE627E">
              <w:t>, fără modificarea atribuțiilor în proporție mai mare de 50%.</w:t>
            </w:r>
          </w:p>
          <w:p w14:paraId="722CD93B" w14:textId="10630834" w:rsidR="000E0B96" w:rsidRPr="008674DA" w:rsidRDefault="000E0B96" w:rsidP="005A6D86">
            <w:pPr>
              <w:jc w:val="both"/>
              <w:rPr>
                <w:color w:val="EE0000"/>
              </w:rPr>
            </w:pPr>
          </w:p>
          <w:p w14:paraId="06551B1F" w14:textId="2A0D1344" w:rsidR="00C63A5B" w:rsidRDefault="00266743" w:rsidP="009F717B">
            <w:pPr>
              <w:jc w:val="both"/>
            </w:pPr>
            <w:r w:rsidRPr="00DE296E">
              <w:t>De asemenea</w:t>
            </w:r>
            <w:r w:rsidR="005A6D86">
              <w:t>,</w:t>
            </w:r>
            <w:r w:rsidRPr="00DE296E">
              <w:t xml:space="preserve"> facem precizarea</w:t>
            </w:r>
            <w:r w:rsidR="00E84970" w:rsidRPr="00DE296E">
              <w:t xml:space="preserve"> că </w:t>
            </w:r>
            <w:r w:rsidR="009F717B">
              <w:t>modificările propuse</w:t>
            </w:r>
            <w:r w:rsidR="00B55793" w:rsidRPr="00DE296E">
              <w:t xml:space="preserve"> </w:t>
            </w:r>
            <w:r w:rsidR="00DE296E" w:rsidRPr="00DE296E">
              <w:t>nu intră sub incidența</w:t>
            </w:r>
            <w:r w:rsidR="00E84970" w:rsidRPr="00DE296E">
              <w:t xml:space="preserve"> </w:t>
            </w:r>
            <w:r w:rsidRPr="00DE296E">
              <w:t>prevederi</w:t>
            </w:r>
            <w:r w:rsidR="009F717B">
              <w:t>lor art.</w:t>
            </w:r>
            <w:r w:rsidRPr="00DE296E">
              <w:t xml:space="preserve"> </w:t>
            </w:r>
            <w:r w:rsidR="00DE296E" w:rsidRPr="00DE296E">
              <w:t>519</w:t>
            </w:r>
            <w:r w:rsidRPr="00DE296E">
              <w:t xml:space="preserve"> din Ordonanța de </w:t>
            </w:r>
            <w:r w:rsidR="00536B5C">
              <w:t>u</w:t>
            </w:r>
            <w:r w:rsidRPr="00DE296E">
              <w:t>rgență a Guvernului nr.</w:t>
            </w:r>
            <w:r w:rsidR="00536B5C">
              <w:t xml:space="preserve"> </w:t>
            </w:r>
            <w:r w:rsidRPr="00DE296E">
              <w:t>57/2019, cu modificările și completările ulterioare</w:t>
            </w:r>
            <w:r w:rsidR="00087CBE">
              <w:t>,</w:t>
            </w:r>
            <w:r w:rsidR="00B54120">
              <w:t xml:space="preserve"> </w:t>
            </w:r>
            <w:r w:rsidR="00B54120" w:rsidRPr="00B54120">
              <w:t>și totodată respectă</w:t>
            </w:r>
            <w:r w:rsidR="00C63A5B" w:rsidRPr="00B54120">
              <w:t xml:space="preserve"> încadrare</w:t>
            </w:r>
            <w:r w:rsidR="0018530B">
              <w:t>a</w:t>
            </w:r>
            <w:r w:rsidR="00C63A5B" w:rsidRPr="00B54120">
              <w:t xml:space="preserve"> funcțiilor publice de conducere în procentul de maximum 8% din numărul total al posturilor aprobate la nivel de ordonator principal de credite</w:t>
            </w:r>
            <w:r w:rsidR="00B54120">
              <w:t>.</w:t>
            </w:r>
          </w:p>
          <w:p w14:paraId="45564F35" w14:textId="4D151FA5" w:rsidR="005E5D1A" w:rsidRDefault="005E5D1A" w:rsidP="009F717B">
            <w:pPr>
              <w:jc w:val="both"/>
            </w:pPr>
            <w:r>
              <w:t>În considerarea argumentelor prezentate mai sus, precum și necesitatea corelării actului normativ cu cadrul financiar aferent perioadei 2021-2028, astfel cum rezultă</w:t>
            </w:r>
            <w:r w:rsidR="00155452">
              <w:t xml:space="preserve"> din cele doua memorandumuri aprobate în acest sens, se impune modificarea art.4 alin.(2), (3) și art.5 punctele 7, 9 și 15, prin includerea referirilor exprese la respectivul cadru financiar.</w:t>
            </w:r>
          </w:p>
          <w:p w14:paraId="4C8E2C22" w14:textId="391A5E37" w:rsidR="005A0008" w:rsidRDefault="005A0008" w:rsidP="009F717B">
            <w:pPr>
              <w:jc w:val="both"/>
            </w:pPr>
            <w:r>
              <w:t>Precizăm că, actul normativ poate fi promovat intrucât nu instituie o politică publică nouă și nu generează orientări strategice sau soluții normative</w:t>
            </w:r>
            <w:r w:rsidR="009C0A59">
              <w:t xml:space="preserve"> de principiu, ci reprezintă un act de administrare necesar de continuare a unui demers deja existent. Din perspectiva fundamentării legislative, acesta se circumscrie cadrului normativ în vigoare, având caracter de continuitate administrativă și de gestionare a activităților curente</w:t>
            </w:r>
            <w:r w:rsidR="00EF2AD8">
              <w:t>, încadrându-se astfel în categoria actelor reglementate de alin. (4) al art. 110 din Constituția României, republicată</w:t>
            </w:r>
            <w:r w:rsidR="009C0A59">
              <w:t>.</w:t>
            </w:r>
          </w:p>
          <w:p w14:paraId="63AB50D9" w14:textId="53A7B628" w:rsidR="004064CC" w:rsidRPr="007E5847" w:rsidRDefault="004064CC" w:rsidP="00DE296E">
            <w:pPr>
              <w:ind w:left="161"/>
              <w:jc w:val="both"/>
            </w:pPr>
          </w:p>
          <w:p w14:paraId="27831B60" w14:textId="7C383EC9" w:rsidR="00223491" w:rsidRPr="00566D8E" w:rsidRDefault="00CF52CA" w:rsidP="00DE296E">
            <w:pPr>
              <w:ind w:left="161"/>
              <w:jc w:val="both"/>
            </w:pPr>
            <w:r w:rsidRPr="00566D8E">
              <w:t xml:space="preserve">    </w:t>
            </w:r>
            <w:r w:rsidR="00223491" w:rsidRPr="00566D8E">
              <w:t>2.4 Alte informații</w:t>
            </w:r>
            <w:r w:rsidR="0064777F" w:rsidRPr="00566D8E">
              <w:t xml:space="preserve"> *)</w:t>
            </w:r>
          </w:p>
          <w:p w14:paraId="45862F79" w14:textId="14DE8002" w:rsidR="009E2A76" w:rsidRPr="00566D8E" w:rsidRDefault="000F01C4" w:rsidP="00E71AF3">
            <w:pPr>
              <w:ind w:left="161"/>
              <w:jc w:val="both"/>
            </w:pPr>
            <w:r w:rsidRPr="00566D8E">
              <w:t>Nu au fost identificate.</w:t>
            </w:r>
          </w:p>
        </w:tc>
      </w:tr>
    </w:tbl>
    <w:p w14:paraId="79B7D59B" w14:textId="77777777" w:rsidR="009E2A76" w:rsidRPr="00312A59" w:rsidRDefault="009E2A76" w:rsidP="00312A59">
      <w:pPr>
        <w:rPr>
          <w:b/>
        </w:rPr>
      </w:pPr>
    </w:p>
    <w:p w14:paraId="708B6BC6" w14:textId="4943775E" w:rsidR="003C2E9C" w:rsidRPr="00312A59" w:rsidRDefault="003864F6" w:rsidP="00312A59">
      <w:pPr>
        <w:rPr>
          <w:b/>
        </w:rPr>
      </w:pPr>
      <w:r w:rsidRPr="00312A59">
        <w:rPr>
          <w:b/>
        </w:rPr>
        <w:t>Secțiunea</w:t>
      </w:r>
      <w:r w:rsidR="00670C79" w:rsidRPr="00312A59">
        <w:rPr>
          <w:b/>
        </w:rPr>
        <w:t xml:space="preserve"> a 3-a </w:t>
      </w:r>
    </w:p>
    <w:p w14:paraId="10247BEB" w14:textId="01542A11" w:rsidR="009E2A76" w:rsidRPr="00312A59" w:rsidRDefault="00670C79" w:rsidP="00312A59">
      <w:pPr>
        <w:rPr>
          <w:b/>
        </w:rPr>
      </w:pPr>
      <w:r w:rsidRPr="00312A59">
        <w:rPr>
          <w:b/>
        </w:rPr>
        <w:t xml:space="preserve">Impactul socioeconomic </w:t>
      </w:r>
      <w:r w:rsidR="0064777F" w:rsidRPr="00312A59">
        <w:rPr>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3"/>
      </w:tblGrid>
      <w:tr w:rsidR="00F72189" w:rsidRPr="00312A59" w14:paraId="4F7B7B5A" w14:textId="77777777" w:rsidTr="005144FA">
        <w:tc>
          <w:tcPr>
            <w:tcW w:w="10533" w:type="dxa"/>
          </w:tcPr>
          <w:p w14:paraId="4C6C7A1E" w14:textId="2F5740C7" w:rsidR="009E2A76" w:rsidRDefault="00F72189" w:rsidP="00312A59">
            <w:pPr>
              <w:jc w:val="both"/>
              <w:rPr>
                <w:b/>
              </w:rPr>
            </w:pPr>
            <w:r w:rsidRPr="00312A59">
              <w:rPr>
                <w:b/>
              </w:rPr>
              <w:t>3.1 Descrierea generală a beneficiilor și costurilor estimate ca urmare a intrării în vigoare a actului normativ</w:t>
            </w:r>
          </w:p>
          <w:p w14:paraId="7F79EE24" w14:textId="77777777" w:rsidR="00E71AF3" w:rsidRPr="00312A59" w:rsidRDefault="00E71AF3" w:rsidP="00312A59">
            <w:pPr>
              <w:jc w:val="both"/>
              <w:rPr>
                <w:b/>
              </w:rPr>
            </w:pPr>
          </w:p>
          <w:p w14:paraId="0675353F" w14:textId="77777777" w:rsidR="00F72189" w:rsidRPr="00312A59" w:rsidRDefault="00F72189" w:rsidP="00312A59">
            <w:pPr>
              <w:jc w:val="both"/>
              <w:rPr>
                <w:b/>
              </w:rPr>
            </w:pPr>
            <w:r w:rsidRPr="00312A59">
              <w:rPr>
                <w:b/>
              </w:rPr>
              <w:t>3.2 Impactul social</w:t>
            </w:r>
          </w:p>
          <w:p w14:paraId="02CC95E8" w14:textId="7D9F9395" w:rsidR="00E71AF3" w:rsidRPr="00312A59" w:rsidRDefault="00875DF2" w:rsidP="00312A59">
            <w:pPr>
              <w:jc w:val="both"/>
            </w:pPr>
            <w:r w:rsidRPr="00312A59">
              <w:t>Prezentul act normativ nu se referă la acest subiect.</w:t>
            </w:r>
          </w:p>
          <w:p w14:paraId="242C4DEA" w14:textId="52B5D23D" w:rsidR="00E71AF3" w:rsidRPr="00312A59" w:rsidRDefault="00F72189" w:rsidP="00312A59">
            <w:pPr>
              <w:jc w:val="both"/>
              <w:rPr>
                <w:b/>
              </w:rPr>
            </w:pPr>
            <w:r w:rsidRPr="00312A59">
              <w:rPr>
                <w:b/>
              </w:rPr>
              <w:t xml:space="preserve">3.3. Impactul asupra drepturilor și libertăților fundamentale ale omului </w:t>
            </w:r>
            <w:r w:rsidR="009E2A76">
              <w:rPr>
                <w:b/>
              </w:rPr>
              <w:t>–</w:t>
            </w:r>
          </w:p>
          <w:p w14:paraId="0E1DE074" w14:textId="244F4BE6" w:rsidR="009E2A76" w:rsidRPr="00312A59" w:rsidRDefault="00FD3526" w:rsidP="00312A59">
            <w:pPr>
              <w:jc w:val="both"/>
              <w:rPr>
                <w:b/>
              </w:rPr>
            </w:pPr>
            <w:r w:rsidRPr="00312A59">
              <w:rPr>
                <w:b/>
              </w:rPr>
              <w:t>3.4. Impactul macroeconomic</w:t>
            </w:r>
          </w:p>
          <w:p w14:paraId="164EC38B" w14:textId="4863D9E5" w:rsidR="00F72189" w:rsidRPr="00312A59" w:rsidRDefault="00F72189" w:rsidP="00312A59">
            <w:pPr>
              <w:jc w:val="both"/>
              <w:rPr>
                <w:b/>
              </w:rPr>
            </w:pPr>
            <w:r w:rsidRPr="00312A59">
              <w:rPr>
                <w:b/>
              </w:rPr>
              <w:t>3.</w:t>
            </w:r>
            <w:r w:rsidR="00FD3526" w:rsidRPr="00312A59">
              <w:rPr>
                <w:b/>
              </w:rPr>
              <w:t>4</w:t>
            </w:r>
            <w:r w:rsidRPr="00312A59">
              <w:rPr>
                <w:b/>
              </w:rPr>
              <w:t xml:space="preserve">.1 Impactul asupra </w:t>
            </w:r>
            <w:r w:rsidR="00FD3526" w:rsidRPr="00312A59">
              <w:rPr>
                <w:b/>
              </w:rPr>
              <w:t xml:space="preserve">economiei și asupra </w:t>
            </w:r>
            <w:r w:rsidRPr="00312A59">
              <w:rPr>
                <w:b/>
              </w:rPr>
              <w:t>principalilor indicatori macroeconomici</w:t>
            </w:r>
          </w:p>
          <w:p w14:paraId="2E436BEE" w14:textId="111F72F3" w:rsidR="009E2A76" w:rsidRPr="00312A59" w:rsidRDefault="00880A39" w:rsidP="00312A59">
            <w:pPr>
              <w:jc w:val="both"/>
            </w:pPr>
            <w:r w:rsidRPr="00312A59">
              <w:t>Prezentul act normativ nu se referă la acest subiect.</w:t>
            </w:r>
          </w:p>
          <w:p w14:paraId="18C98DD5" w14:textId="0BAADE4E" w:rsidR="00F72189" w:rsidRPr="00312A59" w:rsidRDefault="00F72189" w:rsidP="00312A59">
            <w:pPr>
              <w:jc w:val="both"/>
              <w:rPr>
                <w:b/>
              </w:rPr>
            </w:pPr>
            <w:r w:rsidRPr="00312A59">
              <w:rPr>
                <w:b/>
              </w:rPr>
              <w:t>3.</w:t>
            </w:r>
            <w:r w:rsidR="00FD3526" w:rsidRPr="00312A59">
              <w:rPr>
                <w:b/>
              </w:rPr>
              <w:t>4</w:t>
            </w:r>
            <w:r w:rsidRPr="00312A59">
              <w:rPr>
                <w:b/>
              </w:rPr>
              <w:t>.2 Impactul asupra mediului concurențial si domeniul</w:t>
            </w:r>
            <w:r w:rsidR="00FB45DC" w:rsidRPr="00312A59">
              <w:rPr>
                <w:b/>
              </w:rPr>
              <w:t>ui</w:t>
            </w:r>
            <w:r w:rsidRPr="00312A59">
              <w:rPr>
                <w:b/>
              </w:rPr>
              <w:t xml:space="preserve"> ajutoarelor de stat</w:t>
            </w:r>
          </w:p>
          <w:p w14:paraId="2E998267" w14:textId="6DEDC512" w:rsidR="009E2A76" w:rsidRPr="00312A59" w:rsidRDefault="007578D3" w:rsidP="00312A59">
            <w:pPr>
              <w:jc w:val="both"/>
            </w:pPr>
            <w:r w:rsidRPr="00312A59">
              <w:t>Prezentul act normativ nu se referă la acest subiect.</w:t>
            </w:r>
          </w:p>
          <w:p w14:paraId="5D645A5F" w14:textId="6CB75EA8" w:rsidR="00F72189" w:rsidRPr="00312A59" w:rsidRDefault="00F72189" w:rsidP="00312A59">
            <w:pPr>
              <w:jc w:val="both"/>
              <w:rPr>
                <w:b/>
              </w:rPr>
            </w:pPr>
            <w:r w:rsidRPr="00312A59">
              <w:rPr>
                <w:b/>
              </w:rPr>
              <w:lastRenderedPageBreak/>
              <w:t>3.</w:t>
            </w:r>
            <w:r w:rsidR="00FD3526" w:rsidRPr="00312A59">
              <w:rPr>
                <w:b/>
              </w:rPr>
              <w:t>5</w:t>
            </w:r>
            <w:r w:rsidRPr="00312A59">
              <w:rPr>
                <w:b/>
              </w:rPr>
              <w:t>. Impactul asupra mediului de afaceri</w:t>
            </w:r>
          </w:p>
          <w:p w14:paraId="11E6FDB3" w14:textId="55AE43BE" w:rsidR="009E2A76" w:rsidRPr="00312A59" w:rsidRDefault="007578D3" w:rsidP="00312A59">
            <w:pPr>
              <w:jc w:val="both"/>
            </w:pPr>
            <w:r w:rsidRPr="00312A59">
              <w:t>Prezentul act normativ nu se referă la acest subiect.</w:t>
            </w:r>
          </w:p>
          <w:p w14:paraId="6BA44179" w14:textId="1333F7AF" w:rsidR="00FD3526" w:rsidRPr="00312A59" w:rsidRDefault="00FD3526" w:rsidP="00312A59">
            <w:pPr>
              <w:jc w:val="both"/>
              <w:rPr>
                <w:b/>
              </w:rPr>
            </w:pPr>
            <w:r w:rsidRPr="00312A59">
              <w:rPr>
                <w:b/>
              </w:rPr>
              <w:t>3.6 Impactul asupra mediului înconjurător</w:t>
            </w:r>
          </w:p>
          <w:p w14:paraId="320B7C13" w14:textId="1969A1C6" w:rsidR="009E2A76" w:rsidRPr="00312A59" w:rsidRDefault="007578D3" w:rsidP="00312A59">
            <w:pPr>
              <w:jc w:val="both"/>
            </w:pPr>
            <w:r w:rsidRPr="00312A59">
              <w:t>Prezentul act normativ nu se referă la acest subiect.</w:t>
            </w:r>
          </w:p>
          <w:p w14:paraId="1876FCBE" w14:textId="046FE2EE" w:rsidR="009E2A76" w:rsidRPr="00312A59" w:rsidRDefault="00FD3526" w:rsidP="00312A59">
            <w:pPr>
              <w:jc w:val="both"/>
              <w:rPr>
                <w:b/>
                <w:bCs/>
              </w:rPr>
            </w:pPr>
            <w:r w:rsidRPr="00312A59">
              <w:rPr>
                <w:b/>
                <w:bCs/>
              </w:rPr>
              <w:t>3.7. Evaluarea costurilor și beneficiilor din perspectiva inovării și digitalizării</w:t>
            </w:r>
            <w:r w:rsidR="00880A39" w:rsidRPr="00312A59">
              <w:rPr>
                <w:b/>
                <w:bCs/>
              </w:rPr>
              <w:t xml:space="preserve"> </w:t>
            </w:r>
            <w:r w:rsidR="009E2A76">
              <w:rPr>
                <w:b/>
                <w:bCs/>
              </w:rPr>
              <w:t>–</w:t>
            </w:r>
          </w:p>
          <w:p w14:paraId="3A33491A" w14:textId="53616833" w:rsidR="009E2A76" w:rsidRPr="00312A59" w:rsidRDefault="00FD3526" w:rsidP="00312A59">
            <w:pPr>
              <w:jc w:val="both"/>
              <w:rPr>
                <w:b/>
                <w:bCs/>
              </w:rPr>
            </w:pPr>
            <w:r w:rsidRPr="00312A59">
              <w:rPr>
                <w:b/>
                <w:bCs/>
              </w:rPr>
              <w:t>3.8 Evaluarea costurilor și beneficiilor din perspectiva dezvoltării durabile</w:t>
            </w:r>
            <w:r w:rsidR="00880A39" w:rsidRPr="00312A59">
              <w:rPr>
                <w:b/>
                <w:bCs/>
              </w:rPr>
              <w:t xml:space="preserve"> </w:t>
            </w:r>
            <w:r w:rsidR="009E2A76">
              <w:rPr>
                <w:b/>
                <w:bCs/>
              </w:rPr>
              <w:t>–</w:t>
            </w:r>
          </w:p>
          <w:p w14:paraId="31CF2271" w14:textId="00209344" w:rsidR="00FD3526" w:rsidRPr="00312A59" w:rsidRDefault="00FD3526" w:rsidP="00312A59">
            <w:pPr>
              <w:jc w:val="both"/>
              <w:rPr>
                <w:b/>
                <w:bCs/>
              </w:rPr>
            </w:pPr>
            <w:r w:rsidRPr="00312A59">
              <w:rPr>
                <w:b/>
                <w:bCs/>
              </w:rPr>
              <w:t>3.9. Alte informații</w:t>
            </w:r>
          </w:p>
          <w:p w14:paraId="041FB550" w14:textId="72692822" w:rsidR="00587CCB" w:rsidRPr="00312A59" w:rsidRDefault="00587CCB" w:rsidP="00312A59">
            <w:pPr>
              <w:jc w:val="both"/>
              <w:rPr>
                <w:b/>
                <w:bCs/>
              </w:rPr>
            </w:pPr>
            <w:r w:rsidRPr="00312A59">
              <w:t>Nu au fost identificate.</w:t>
            </w:r>
          </w:p>
        </w:tc>
      </w:tr>
    </w:tbl>
    <w:p w14:paraId="74C4CFAC" w14:textId="77777777" w:rsidR="009E2A76" w:rsidRDefault="009E2A76" w:rsidP="00FE12DB">
      <w:pPr>
        <w:jc w:val="both"/>
        <w:rPr>
          <w:b/>
        </w:rPr>
      </w:pPr>
    </w:p>
    <w:p w14:paraId="26764486" w14:textId="3273D81D" w:rsidR="00393524" w:rsidRPr="00312A59" w:rsidRDefault="00393524" w:rsidP="00FE12DB">
      <w:pPr>
        <w:jc w:val="both"/>
        <w:rPr>
          <w:b/>
        </w:rPr>
      </w:pPr>
      <w:r w:rsidRPr="00312A59">
        <w:rPr>
          <w:b/>
        </w:rPr>
        <w:t xml:space="preserve">Secțiunea a 4-a </w:t>
      </w:r>
    </w:p>
    <w:p w14:paraId="1EDB887D" w14:textId="62DADCC4" w:rsidR="009E2A76" w:rsidRPr="00312A59" w:rsidRDefault="00393524" w:rsidP="00CF0AD2">
      <w:pPr>
        <w:jc w:val="both"/>
        <w:rPr>
          <w:b/>
        </w:rPr>
      </w:pPr>
      <w:r w:rsidRPr="00312A59">
        <w:rPr>
          <w:b/>
        </w:rPr>
        <w:t xml:space="preserve">Impactul financiar asupra bugetului general consolidat atât pe termen scurt, pentru anul curent, cât și pe termen lung (pe 5 ani), inclusiv informații cu privire la cheltuieli și venituri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9"/>
        <w:gridCol w:w="1144"/>
        <w:gridCol w:w="1355"/>
        <w:gridCol w:w="1451"/>
        <w:gridCol w:w="1355"/>
        <w:gridCol w:w="1144"/>
        <w:gridCol w:w="1433"/>
      </w:tblGrid>
      <w:tr w:rsidR="00393524" w:rsidRPr="00312A59" w14:paraId="2AB7AAF0" w14:textId="77777777" w:rsidTr="00CB19D1">
        <w:tc>
          <w:tcPr>
            <w:tcW w:w="10391" w:type="dxa"/>
            <w:gridSpan w:val="7"/>
          </w:tcPr>
          <w:p w14:paraId="17978435" w14:textId="77777777" w:rsidR="00393524" w:rsidRPr="00312A59" w:rsidRDefault="00393524" w:rsidP="00312A59">
            <w:pPr>
              <w:pStyle w:val="ListParagraph"/>
              <w:numPr>
                <w:ilvl w:val="0"/>
                <w:numId w:val="1"/>
              </w:numPr>
              <w:jc w:val="right"/>
              <w:rPr>
                <w:rFonts w:ascii="Times New Roman" w:hAnsi="Times New Roman" w:cs="Times New Roman"/>
              </w:rPr>
            </w:pPr>
            <w:r w:rsidRPr="00312A59">
              <w:rPr>
                <w:rFonts w:ascii="Times New Roman" w:hAnsi="Times New Roman" w:cs="Times New Roman"/>
              </w:rPr>
              <w:t>În mii lei (RON)</w:t>
            </w:r>
          </w:p>
        </w:tc>
      </w:tr>
      <w:tr w:rsidR="00393524" w:rsidRPr="00312A59" w14:paraId="40A93064" w14:textId="77777777" w:rsidTr="00CB19D1">
        <w:tc>
          <w:tcPr>
            <w:tcW w:w="2509" w:type="dxa"/>
          </w:tcPr>
          <w:p w14:paraId="6325902D" w14:textId="77777777" w:rsidR="00393524" w:rsidRPr="00312A59" w:rsidRDefault="00393524" w:rsidP="00312A59">
            <w:pPr>
              <w:pStyle w:val="Heading2"/>
              <w:rPr>
                <w:sz w:val="24"/>
              </w:rPr>
            </w:pPr>
            <w:r w:rsidRPr="00312A59">
              <w:rPr>
                <w:sz w:val="24"/>
              </w:rPr>
              <w:t>Indicatori</w:t>
            </w:r>
          </w:p>
        </w:tc>
        <w:tc>
          <w:tcPr>
            <w:tcW w:w="1144" w:type="dxa"/>
          </w:tcPr>
          <w:p w14:paraId="33190A21" w14:textId="77777777" w:rsidR="00393524" w:rsidRPr="00312A59" w:rsidRDefault="00393524" w:rsidP="00312A59">
            <w:pPr>
              <w:jc w:val="center"/>
            </w:pPr>
            <w:r w:rsidRPr="00312A59">
              <w:t>Anul curent</w:t>
            </w:r>
          </w:p>
        </w:tc>
        <w:tc>
          <w:tcPr>
            <w:tcW w:w="5305" w:type="dxa"/>
            <w:gridSpan w:val="4"/>
          </w:tcPr>
          <w:p w14:paraId="62A67086" w14:textId="77777777" w:rsidR="00393524" w:rsidRPr="00312A59" w:rsidRDefault="00393524" w:rsidP="00312A59">
            <w:pPr>
              <w:jc w:val="center"/>
            </w:pPr>
            <w:r w:rsidRPr="00312A59">
              <w:t>Următorii 4 ani</w:t>
            </w:r>
          </w:p>
        </w:tc>
        <w:tc>
          <w:tcPr>
            <w:tcW w:w="1433" w:type="dxa"/>
          </w:tcPr>
          <w:p w14:paraId="2637AB09" w14:textId="77777777" w:rsidR="00393524" w:rsidRPr="00312A59" w:rsidRDefault="00393524" w:rsidP="00312A59">
            <w:pPr>
              <w:jc w:val="center"/>
            </w:pPr>
            <w:r w:rsidRPr="00312A59">
              <w:t>Media pe 5 ani</w:t>
            </w:r>
          </w:p>
        </w:tc>
      </w:tr>
      <w:tr w:rsidR="00393524" w:rsidRPr="00312A59" w14:paraId="123F1704" w14:textId="77777777" w:rsidTr="00CB19D1">
        <w:tc>
          <w:tcPr>
            <w:tcW w:w="2509" w:type="dxa"/>
          </w:tcPr>
          <w:p w14:paraId="35B2480B" w14:textId="77777777" w:rsidR="00393524" w:rsidRPr="00312A59" w:rsidRDefault="00393524" w:rsidP="00312A59">
            <w:pPr>
              <w:jc w:val="center"/>
            </w:pPr>
            <w:r w:rsidRPr="00312A59">
              <w:t>1</w:t>
            </w:r>
          </w:p>
        </w:tc>
        <w:tc>
          <w:tcPr>
            <w:tcW w:w="1144" w:type="dxa"/>
            <w:vAlign w:val="center"/>
          </w:tcPr>
          <w:p w14:paraId="13828E10" w14:textId="77777777" w:rsidR="00393524" w:rsidRPr="00312A59" w:rsidRDefault="00393524" w:rsidP="00312A59">
            <w:pPr>
              <w:jc w:val="center"/>
            </w:pPr>
            <w:r w:rsidRPr="00312A59">
              <w:t>2</w:t>
            </w:r>
          </w:p>
        </w:tc>
        <w:tc>
          <w:tcPr>
            <w:tcW w:w="1355" w:type="dxa"/>
            <w:vAlign w:val="center"/>
          </w:tcPr>
          <w:p w14:paraId="1290BAE8" w14:textId="77777777" w:rsidR="00393524" w:rsidRPr="00312A59" w:rsidRDefault="00393524" w:rsidP="00312A59">
            <w:pPr>
              <w:jc w:val="center"/>
            </w:pPr>
            <w:r w:rsidRPr="00312A59">
              <w:t>3</w:t>
            </w:r>
          </w:p>
        </w:tc>
        <w:tc>
          <w:tcPr>
            <w:tcW w:w="1451" w:type="dxa"/>
            <w:vAlign w:val="center"/>
          </w:tcPr>
          <w:p w14:paraId="555F0782" w14:textId="77777777" w:rsidR="00393524" w:rsidRPr="00312A59" w:rsidRDefault="00393524" w:rsidP="00312A59">
            <w:pPr>
              <w:jc w:val="center"/>
            </w:pPr>
            <w:r w:rsidRPr="00312A59">
              <w:t>4</w:t>
            </w:r>
          </w:p>
        </w:tc>
        <w:tc>
          <w:tcPr>
            <w:tcW w:w="1355" w:type="dxa"/>
            <w:vAlign w:val="center"/>
          </w:tcPr>
          <w:p w14:paraId="39AFED07" w14:textId="77777777" w:rsidR="00393524" w:rsidRPr="00312A59" w:rsidRDefault="00393524" w:rsidP="00312A59">
            <w:pPr>
              <w:jc w:val="center"/>
            </w:pPr>
            <w:r w:rsidRPr="00312A59">
              <w:t>5</w:t>
            </w:r>
          </w:p>
        </w:tc>
        <w:tc>
          <w:tcPr>
            <w:tcW w:w="1144" w:type="dxa"/>
            <w:vAlign w:val="center"/>
          </w:tcPr>
          <w:p w14:paraId="2D25077A" w14:textId="77777777" w:rsidR="00393524" w:rsidRPr="00312A59" w:rsidRDefault="00393524" w:rsidP="00312A59">
            <w:pPr>
              <w:jc w:val="center"/>
            </w:pPr>
            <w:r w:rsidRPr="00312A59">
              <w:t>6</w:t>
            </w:r>
          </w:p>
        </w:tc>
        <w:tc>
          <w:tcPr>
            <w:tcW w:w="1433" w:type="dxa"/>
            <w:vAlign w:val="center"/>
          </w:tcPr>
          <w:p w14:paraId="009C964F" w14:textId="77777777" w:rsidR="00393524" w:rsidRPr="00312A59" w:rsidRDefault="00393524" w:rsidP="00312A59">
            <w:pPr>
              <w:jc w:val="center"/>
            </w:pPr>
            <w:r w:rsidRPr="00312A59">
              <w:t>7</w:t>
            </w:r>
          </w:p>
        </w:tc>
      </w:tr>
      <w:tr w:rsidR="00393524" w:rsidRPr="00312A59" w14:paraId="65E213DE" w14:textId="77777777" w:rsidTr="00CB19D1">
        <w:tc>
          <w:tcPr>
            <w:tcW w:w="2509" w:type="dxa"/>
          </w:tcPr>
          <w:p w14:paraId="19629E6B" w14:textId="77777777" w:rsidR="00393524" w:rsidRPr="00312A59" w:rsidRDefault="00393524" w:rsidP="00312A59">
            <w:pPr>
              <w:jc w:val="both"/>
              <w:rPr>
                <w:b/>
                <w:bCs/>
              </w:rPr>
            </w:pPr>
            <w:r w:rsidRPr="00312A59">
              <w:rPr>
                <w:b/>
                <w:bCs/>
              </w:rPr>
              <w:t>4.1. Modificări ale veniturilor bugetare, plus/minus, din care:</w:t>
            </w:r>
          </w:p>
        </w:tc>
        <w:tc>
          <w:tcPr>
            <w:tcW w:w="1144" w:type="dxa"/>
          </w:tcPr>
          <w:p w14:paraId="7764230E" w14:textId="77777777" w:rsidR="00393524" w:rsidRPr="00312A59" w:rsidRDefault="00393524" w:rsidP="00312A59">
            <w:pPr>
              <w:pStyle w:val="BodyText2"/>
              <w:rPr>
                <w:sz w:val="24"/>
              </w:rPr>
            </w:pPr>
          </w:p>
        </w:tc>
        <w:tc>
          <w:tcPr>
            <w:tcW w:w="1355" w:type="dxa"/>
          </w:tcPr>
          <w:p w14:paraId="57A1D0C6" w14:textId="08F74DB9" w:rsidR="005961A5" w:rsidRPr="00312A59" w:rsidRDefault="005961A5" w:rsidP="00312A59">
            <w:pPr>
              <w:pStyle w:val="BodyText2"/>
              <w:jc w:val="right"/>
              <w:rPr>
                <w:sz w:val="24"/>
              </w:rPr>
            </w:pPr>
          </w:p>
        </w:tc>
        <w:tc>
          <w:tcPr>
            <w:tcW w:w="1451" w:type="dxa"/>
          </w:tcPr>
          <w:p w14:paraId="75D327C0" w14:textId="30A36F73" w:rsidR="005961A5" w:rsidRPr="00312A59" w:rsidRDefault="005961A5" w:rsidP="00312A59">
            <w:pPr>
              <w:pStyle w:val="BodyText2"/>
              <w:jc w:val="right"/>
              <w:rPr>
                <w:sz w:val="24"/>
              </w:rPr>
            </w:pPr>
          </w:p>
        </w:tc>
        <w:tc>
          <w:tcPr>
            <w:tcW w:w="1355" w:type="dxa"/>
          </w:tcPr>
          <w:p w14:paraId="40A8D933" w14:textId="636B90EB" w:rsidR="005961A5" w:rsidRPr="00312A59" w:rsidRDefault="005961A5" w:rsidP="00312A59">
            <w:pPr>
              <w:pStyle w:val="BodyText2"/>
              <w:jc w:val="right"/>
              <w:rPr>
                <w:sz w:val="24"/>
              </w:rPr>
            </w:pPr>
          </w:p>
        </w:tc>
        <w:tc>
          <w:tcPr>
            <w:tcW w:w="1144" w:type="dxa"/>
          </w:tcPr>
          <w:p w14:paraId="28A15B76" w14:textId="6BACE8CA" w:rsidR="005961A5" w:rsidRPr="00312A59" w:rsidRDefault="005961A5" w:rsidP="00312A59">
            <w:pPr>
              <w:pStyle w:val="BodyText2"/>
              <w:jc w:val="right"/>
              <w:rPr>
                <w:sz w:val="24"/>
              </w:rPr>
            </w:pPr>
          </w:p>
        </w:tc>
        <w:tc>
          <w:tcPr>
            <w:tcW w:w="1433" w:type="dxa"/>
          </w:tcPr>
          <w:p w14:paraId="513E80DA" w14:textId="2C30EAD0" w:rsidR="005961A5" w:rsidRPr="00312A59" w:rsidRDefault="005961A5" w:rsidP="00312A59">
            <w:pPr>
              <w:pStyle w:val="BodyText2"/>
              <w:jc w:val="right"/>
              <w:rPr>
                <w:sz w:val="24"/>
              </w:rPr>
            </w:pPr>
          </w:p>
        </w:tc>
      </w:tr>
      <w:tr w:rsidR="00393524" w:rsidRPr="00312A59" w14:paraId="22F811B2" w14:textId="77777777" w:rsidTr="00CB19D1">
        <w:tc>
          <w:tcPr>
            <w:tcW w:w="2509" w:type="dxa"/>
          </w:tcPr>
          <w:p w14:paraId="2D212256" w14:textId="77777777" w:rsidR="00393524" w:rsidRPr="00312A59" w:rsidRDefault="00393524" w:rsidP="00312A59">
            <w:pPr>
              <w:jc w:val="both"/>
            </w:pPr>
            <w:r w:rsidRPr="00312A59">
              <w:t>a) bugetul de stat, din acesta:</w:t>
            </w:r>
          </w:p>
          <w:p w14:paraId="6B2F0C4A" w14:textId="77777777" w:rsidR="00393524" w:rsidRPr="00312A59" w:rsidRDefault="00393524" w:rsidP="00312A59">
            <w:pPr>
              <w:jc w:val="both"/>
            </w:pPr>
            <w:r w:rsidRPr="00312A59">
              <w:t>(i) impozit pe profit</w:t>
            </w:r>
          </w:p>
          <w:p w14:paraId="06F764ED" w14:textId="77777777" w:rsidR="00393524" w:rsidRPr="00312A59" w:rsidRDefault="00393524" w:rsidP="00312A59">
            <w:pPr>
              <w:jc w:val="both"/>
            </w:pPr>
            <w:r w:rsidRPr="00312A59">
              <w:t>(ii) impozit pe venit</w:t>
            </w:r>
          </w:p>
          <w:p w14:paraId="5BE79D41" w14:textId="77777777" w:rsidR="00393524" w:rsidRPr="00312A59" w:rsidRDefault="00393524" w:rsidP="00312A59">
            <w:pPr>
              <w:jc w:val="both"/>
            </w:pPr>
            <w:r w:rsidRPr="00312A59">
              <w:t>(iii) sume primite de la  UE/alti donatori în contul platilor efectuate si prefinantari</w:t>
            </w:r>
          </w:p>
        </w:tc>
        <w:tc>
          <w:tcPr>
            <w:tcW w:w="1144" w:type="dxa"/>
          </w:tcPr>
          <w:p w14:paraId="6C67CE16" w14:textId="28CB6FC4" w:rsidR="00393524" w:rsidRPr="00312A59" w:rsidRDefault="00393524" w:rsidP="00312A59">
            <w:pPr>
              <w:pStyle w:val="BodyText2"/>
              <w:rPr>
                <w:sz w:val="24"/>
              </w:rPr>
            </w:pPr>
          </w:p>
        </w:tc>
        <w:tc>
          <w:tcPr>
            <w:tcW w:w="1355" w:type="dxa"/>
          </w:tcPr>
          <w:p w14:paraId="42098B0F" w14:textId="0D3803DF" w:rsidR="005961A5" w:rsidRPr="00312A59" w:rsidRDefault="005961A5" w:rsidP="00312A59">
            <w:pPr>
              <w:pStyle w:val="BodyText2"/>
              <w:jc w:val="right"/>
              <w:rPr>
                <w:sz w:val="24"/>
              </w:rPr>
            </w:pPr>
          </w:p>
        </w:tc>
        <w:tc>
          <w:tcPr>
            <w:tcW w:w="1451" w:type="dxa"/>
          </w:tcPr>
          <w:p w14:paraId="32CF5A90" w14:textId="649A4438" w:rsidR="005961A5" w:rsidRPr="00312A59" w:rsidRDefault="005961A5" w:rsidP="00312A59">
            <w:pPr>
              <w:pStyle w:val="BodyText2"/>
              <w:jc w:val="right"/>
              <w:rPr>
                <w:sz w:val="24"/>
              </w:rPr>
            </w:pPr>
          </w:p>
        </w:tc>
        <w:tc>
          <w:tcPr>
            <w:tcW w:w="1355" w:type="dxa"/>
          </w:tcPr>
          <w:p w14:paraId="4513B4F3" w14:textId="4EF33DE4" w:rsidR="005961A5" w:rsidRPr="00312A59" w:rsidRDefault="005961A5" w:rsidP="00312A59">
            <w:pPr>
              <w:pStyle w:val="BodyText2"/>
              <w:jc w:val="right"/>
              <w:rPr>
                <w:sz w:val="24"/>
              </w:rPr>
            </w:pPr>
          </w:p>
        </w:tc>
        <w:tc>
          <w:tcPr>
            <w:tcW w:w="1144" w:type="dxa"/>
          </w:tcPr>
          <w:p w14:paraId="184A5380" w14:textId="0775D82F" w:rsidR="005961A5" w:rsidRPr="00312A59" w:rsidRDefault="005961A5" w:rsidP="00312A59">
            <w:pPr>
              <w:pStyle w:val="BodyText2"/>
              <w:jc w:val="right"/>
              <w:rPr>
                <w:sz w:val="24"/>
              </w:rPr>
            </w:pPr>
          </w:p>
        </w:tc>
        <w:tc>
          <w:tcPr>
            <w:tcW w:w="1433" w:type="dxa"/>
          </w:tcPr>
          <w:p w14:paraId="7F3EB022" w14:textId="126D5580" w:rsidR="005961A5" w:rsidRPr="00312A59" w:rsidRDefault="005961A5" w:rsidP="00312A59">
            <w:pPr>
              <w:pStyle w:val="BodyText2"/>
              <w:jc w:val="right"/>
              <w:rPr>
                <w:sz w:val="24"/>
              </w:rPr>
            </w:pPr>
          </w:p>
        </w:tc>
      </w:tr>
      <w:tr w:rsidR="00393524" w:rsidRPr="00312A59" w14:paraId="14A118D6" w14:textId="77777777" w:rsidTr="00CB19D1">
        <w:tc>
          <w:tcPr>
            <w:tcW w:w="2509" w:type="dxa"/>
          </w:tcPr>
          <w:p w14:paraId="21CBB18F" w14:textId="77777777" w:rsidR="00393524" w:rsidRPr="00312A59" w:rsidRDefault="00393524" w:rsidP="00312A59">
            <w:pPr>
              <w:jc w:val="both"/>
            </w:pPr>
            <w:r w:rsidRPr="00312A59">
              <w:t>b) bugete locale:</w:t>
            </w:r>
          </w:p>
          <w:p w14:paraId="1E6770E6" w14:textId="77777777" w:rsidR="00393524" w:rsidRPr="00312A59" w:rsidRDefault="00393524" w:rsidP="00312A59">
            <w:pPr>
              <w:jc w:val="both"/>
            </w:pPr>
            <w:r w:rsidRPr="00312A59">
              <w:t>(i) impozit pe profit</w:t>
            </w:r>
          </w:p>
        </w:tc>
        <w:tc>
          <w:tcPr>
            <w:tcW w:w="1144" w:type="dxa"/>
          </w:tcPr>
          <w:p w14:paraId="0162F902" w14:textId="5E259279" w:rsidR="00393524" w:rsidRPr="00312A59" w:rsidRDefault="00393524" w:rsidP="00312A59">
            <w:pPr>
              <w:pStyle w:val="BodyText2"/>
              <w:rPr>
                <w:sz w:val="24"/>
              </w:rPr>
            </w:pPr>
          </w:p>
        </w:tc>
        <w:tc>
          <w:tcPr>
            <w:tcW w:w="1355" w:type="dxa"/>
          </w:tcPr>
          <w:p w14:paraId="4CF75FD9" w14:textId="68429A47" w:rsidR="00393524" w:rsidRPr="00312A59" w:rsidRDefault="00393524" w:rsidP="00312A59">
            <w:pPr>
              <w:pStyle w:val="BodyText2"/>
              <w:rPr>
                <w:sz w:val="24"/>
              </w:rPr>
            </w:pPr>
          </w:p>
        </w:tc>
        <w:tc>
          <w:tcPr>
            <w:tcW w:w="1451" w:type="dxa"/>
          </w:tcPr>
          <w:p w14:paraId="4924E26C" w14:textId="160C1306" w:rsidR="00393524" w:rsidRPr="00312A59" w:rsidRDefault="00393524" w:rsidP="00312A59">
            <w:pPr>
              <w:pStyle w:val="BodyText2"/>
              <w:rPr>
                <w:sz w:val="24"/>
              </w:rPr>
            </w:pPr>
          </w:p>
        </w:tc>
        <w:tc>
          <w:tcPr>
            <w:tcW w:w="1355" w:type="dxa"/>
          </w:tcPr>
          <w:p w14:paraId="270F1F54" w14:textId="28EFE40A" w:rsidR="00393524" w:rsidRPr="00312A59" w:rsidRDefault="00393524" w:rsidP="00312A59">
            <w:pPr>
              <w:pStyle w:val="BodyText2"/>
              <w:rPr>
                <w:sz w:val="24"/>
              </w:rPr>
            </w:pPr>
          </w:p>
        </w:tc>
        <w:tc>
          <w:tcPr>
            <w:tcW w:w="1144" w:type="dxa"/>
          </w:tcPr>
          <w:p w14:paraId="0A31A80B" w14:textId="45F02608" w:rsidR="00393524" w:rsidRPr="00312A59" w:rsidRDefault="00393524" w:rsidP="00312A59">
            <w:pPr>
              <w:pStyle w:val="BodyText2"/>
              <w:rPr>
                <w:sz w:val="24"/>
              </w:rPr>
            </w:pPr>
          </w:p>
        </w:tc>
        <w:tc>
          <w:tcPr>
            <w:tcW w:w="1433" w:type="dxa"/>
          </w:tcPr>
          <w:p w14:paraId="2E086F43" w14:textId="1F8B8168" w:rsidR="00393524" w:rsidRPr="00312A59" w:rsidRDefault="00393524" w:rsidP="00312A59">
            <w:pPr>
              <w:pStyle w:val="BodyText2"/>
              <w:rPr>
                <w:sz w:val="24"/>
              </w:rPr>
            </w:pPr>
          </w:p>
        </w:tc>
      </w:tr>
      <w:tr w:rsidR="00393524" w:rsidRPr="00312A59" w14:paraId="10FB55F3" w14:textId="77777777" w:rsidTr="00CB19D1">
        <w:tc>
          <w:tcPr>
            <w:tcW w:w="2509" w:type="dxa"/>
          </w:tcPr>
          <w:p w14:paraId="034285C4" w14:textId="77777777" w:rsidR="00393524" w:rsidRPr="00312A59" w:rsidRDefault="00393524" w:rsidP="00312A59">
            <w:pPr>
              <w:jc w:val="both"/>
            </w:pPr>
            <w:r w:rsidRPr="00312A59">
              <w:t>c) bugetul asigurărilor sociale de stat</w:t>
            </w:r>
          </w:p>
          <w:p w14:paraId="2A125046" w14:textId="77777777" w:rsidR="00393524" w:rsidRPr="00312A59" w:rsidRDefault="00393524" w:rsidP="00312A59">
            <w:pPr>
              <w:jc w:val="both"/>
            </w:pPr>
            <w:r w:rsidRPr="00312A59">
              <w:t>(i) contribuții de asigurări</w:t>
            </w:r>
          </w:p>
        </w:tc>
        <w:tc>
          <w:tcPr>
            <w:tcW w:w="1144" w:type="dxa"/>
          </w:tcPr>
          <w:p w14:paraId="1B9E5D62" w14:textId="700996E3" w:rsidR="00393524" w:rsidRPr="00312A59" w:rsidRDefault="00393524" w:rsidP="00312A59">
            <w:pPr>
              <w:pStyle w:val="BodyText2"/>
              <w:rPr>
                <w:sz w:val="24"/>
              </w:rPr>
            </w:pPr>
          </w:p>
        </w:tc>
        <w:tc>
          <w:tcPr>
            <w:tcW w:w="1355" w:type="dxa"/>
          </w:tcPr>
          <w:p w14:paraId="25713BD0" w14:textId="07DACD7B" w:rsidR="00393524" w:rsidRPr="00312A59" w:rsidRDefault="00393524" w:rsidP="00312A59">
            <w:pPr>
              <w:pStyle w:val="BodyText2"/>
              <w:rPr>
                <w:sz w:val="24"/>
              </w:rPr>
            </w:pPr>
          </w:p>
        </w:tc>
        <w:tc>
          <w:tcPr>
            <w:tcW w:w="1451" w:type="dxa"/>
          </w:tcPr>
          <w:p w14:paraId="041071C8" w14:textId="0C35D28B" w:rsidR="00393524" w:rsidRPr="00312A59" w:rsidRDefault="00393524" w:rsidP="00312A59">
            <w:pPr>
              <w:pStyle w:val="BodyText2"/>
              <w:rPr>
                <w:sz w:val="24"/>
              </w:rPr>
            </w:pPr>
          </w:p>
        </w:tc>
        <w:tc>
          <w:tcPr>
            <w:tcW w:w="1355" w:type="dxa"/>
          </w:tcPr>
          <w:p w14:paraId="05E9C99F" w14:textId="0442A80E" w:rsidR="00393524" w:rsidRPr="00312A59" w:rsidRDefault="00393524" w:rsidP="00312A59">
            <w:pPr>
              <w:pStyle w:val="BodyText2"/>
              <w:rPr>
                <w:sz w:val="24"/>
              </w:rPr>
            </w:pPr>
          </w:p>
        </w:tc>
        <w:tc>
          <w:tcPr>
            <w:tcW w:w="1144" w:type="dxa"/>
          </w:tcPr>
          <w:p w14:paraId="74E88292" w14:textId="2668243B" w:rsidR="00393524" w:rsidRPr="00312A59" w:rsidRDefault="00393524" w:rsidP="00312A59">
            <w:pPr>
              <w:pStyle w:val="BodyText2"/>
              <w:rPr>
                <w:sz w:val="24"/>
              </w:rPr>
            </w:pPr>
          </w:p>
        </w:tc>
        <w:tc>
          <w:tcPr>
            <w:tcW w:w="1433" w:type="dxa"/>
          </w:tcPr>
          <w:p w14:paraId="16E60285" w14:textId="62710F63" w:rsidR="00393524" w:rsidRPr="00312A59" w:rsidRDefault="00393524" w:rsidP="00312A59">
            <w:pPr>
              <w:pStyle w:val="BodyText2"/>
              <w:rPr>
                <w:sz w:val="24"/>
              </w:rPr>
            </w:pPr>
          </w:p>
        </w:tc>
      </w:tr>
      <w:tr w:rsidR="00393524" w:rsidRPr="00312A59" w14:paraId="6693F6E5" w14:textId="77777777" w:rsidTr="00CB19D1">
        <w:tc>
          <w:tcPr>
            <w:tcW w:w="2509" w:type="dxa"/>
          </w:tcPr>
          <w:p w14:paraId="151D1682" w14:textId="77777777" w:rsidR="00393524" w:rsidRPr="00312A59" w:rsidRDefault="00393524" w:rsidP="00312A59">
            <w:pPr>
              <w:jc w:val="both"/>
            </w:pPr>
            <w:r w:rsidRPr="00312A59">
              <w:t>d) alte tipuri de venituri</w:t>
            </w:r>
          </w:p>
          <w:p w14:paraId="17F53ACB" w14:textId="77777777" w:rsidR="00393524" w:rsidRPr="00312A59" w:rsidRDefault="00393524" w:rsidP="00312A59">
            <w:pPr>
              <w:jc w:val="both"/>
            </w:pPr>
            <w:r w:rsidRPr="00312A59">
              <w:t xml:space="preserve">(Se va menționa natura acestora.) </w:t>
            </w:r>
          </w:p>
        </w:tc>
        <w:tc>
          <w:tcPr>
            <w:tcW w:w="1144" w:type="dxa"/>
          </w:tcPr>
          <w:p w14:paraId="35DD2EC0" w14:textId="52238DD0" w:rsidR="00393524" w:rsidRPr="00312A59" w:rsidRDefault="00393524" w:rsidP="00312A59">
            <w:pPr>
              <w:pStyle w:val="BodyText2"/>
              <w:rPr>
                <w:sz w:val="24"/>
              </w:rPr>
            </w:pPr>
          </w:p>
        </w:tc>
        <w:tc>
          <w:tcPr>
            <w:tcW w:w="1355" w:type="dxa"/>
          </w:tcPr>
          <w:p w14:paraId="01574DA7" w14:textId="6798207F" w:rsidR="00393524" w:rsidRPr="00312A59" w:rsidRDefault="00393524" w:rsidP="00312A59">
            <w:pPr>
              <w:pStyle w:val="BodyText2"/>
              <w:rPr>
                <w:sz w:val="24"/>
              </w:rPr>
            </w:pPr>
          </w:p>
        </w:tc>
        <w:tc>
          <w:tcPr>
            <w:tcW w:w="1451" w:type="dxa"/>
          </w:tcPr>
          <w:p w14:paraId="0D4AA13D" w14:textId="3BAFF007" w:rsidR="00393524" w:rsidRPr="00312A59" w:rsidRDefault="00393524" w:rsidP="00312A59">
            <w:pPr>
              <w:pStyle w:val="BodyText2"/>
              <w:rPr>
                <w:sz w:val="24"/>
              </w:rPr>
            </w:pPr>
          </w:p>
        </w:tc>
        <w:tc>
          <w:tcPr>
            <w:tcW w:w="1355" w:type="dxa"/>
          </w:tcPr>
          <w:p w14:paraId="03186307" w14:textId="1A654FB7" w:rsidR="00393524" w:rsidRPr="00312A59" w:rsidRDefault="00393524" w:rsidP="00312A59">
            <w:pPr>
              <w:pStyle w:val="BodyText2"/>
              <w:rPr>
                <w:sz w:val="24"/>
              </w:rPr>
            </w:pPr>
          </w:p>
        </w:tc>
        <w:tc>
          <w:tcPr>
            <w:tcW w:w="1144" w:type="dxa"/>
          </w:tcPr>
          <w:p w14:paraId="599BB58E" w14:textId="67D6115F" w:rsidR="00393524" w:rsidRPr="00312A59" w:rsidRDefault="00393524" w:rsidP="00312A59">
            <w:pPr>
              <w:pStyle w:val="BodyText2"/>
              <w:rPr>
                <w:sz w:val="24"/>
              </w:rPr>
            </w:pPr>
          </w:p>
        </w:tc>
        <w:tc>
          <w:tcPr>
            <w:tcW w:w="1433" w:type="dxa"/>
          </w:tcPr>
          <w:p w14:paraId="4590FF03" w14:textId="3AEE6CF0" w:rsidR="00393524" w:rsidRPr="00312A59" w:rsidRDefault="00393524" w:rsidP="00312A59">
            <w:pPr>
              <w:pStyle w:val="BodyText2"/>
              <w:rPr>
                <w:sz w:val="24"/>
              </w:rPr>
            </w:pPr>
          </w:p>
        </w:tc>
      </w:tr>
      <w:tr w:rsidR="00393524" w:rsidRPr="00312A59" w14:paraId="5902F44D" w14:textId="77777777" w:rsidTr="00CB19D1">
        <w:tc>
          <w:tcPr>
            <w:tcW w:w="2509" w:type="dxa"/>
          </w:tcPr>
          <w:p w14:paraId="5573A31B" w14:textId="77777777" w:rsidR="00393524" w:rsidRPr="00312A59" w:rsidRDefault="00393524" w:rsidP="00312A59">
            <w:pPr>
              <w:jc w:val="both"/>
              <w:rPr>
                <w:b/>
                <w:bCs/>
              </w:rPr>
            </w:pPr>
            <w:r w:rsidRPr="00312A59">
              <w:rPr>
                <w:b/>
                <w:bCs/>
              </w:rPr>
              <w:t>4.2. Modificări ale cheltuielilor bugetare, plus/minus, din care:</w:t>
            </w:r>
          </w:p>
        </w:tc>
        <w:tc>
          <w:tcPr>
            <w:tcW w:w="1144" w:type="dxa"/>
          </w:tcPr>
          <w:p w14:paraId="50451C92" w14:textId="77777777" w:rsidR="00393524" w:rsidRPr="00312A59" w:rsidRDefault="00393524" w:rsidP="00312A59">
            <w:pPr>
              <w:jc w:val="center"/>
            </w:pPr>
          </w:p>
        </w:tc>
        <w:tc>
          <w:tcPr>
            <w:tcW w:w="1355" w:type="dxa"/>
          </w:tcPr>
          <w:p w14:paraId="0665FE1C" w14:textId="79395C6F" w:rsidR="00393524" w:rsidRPr="00312A59" w:rsidRDefault="00393524" w:rsidP="00312A59">
            <w:pPr>
              <w:jc w:val="center"/>
            </w:pPr>
          </w:p>
        </w:tc>
        <w:tc>
          <w:tcPr>
            <w:tcW w:w="1451" w:type="dxa"/>
          </w:tcPr>
          <w:p w14:paraId="11D22F52" w14:textId="4F187B27" w:rsidR="00393524" w:rsidRPr="00312A59" w:rsidRDefault="00393524" w:rsidP="00312A59">
            <w:pPr>
              <w:jc w:val="center"/>
            </w:pPr>
          </w:p>
        </w:tc>
        <w:tc>
          <w:tcPr>
            <w:tcW w:w="1355" w:type="dxa"/>
          </w:tcPr>
          <w:p w14:paraId="476E2AA4" w14:textId="28909E5F" w:rsidR="00393524" w:rsidRPr="00312A59" w:rsidRDefault="00393524" w:rsidP="00312A59">
            <w:pPr>
              <w:jc w:val="center"/>
            </w:pPr>
          </w:p>
        </w:tc>
        <w:tc>
          <w:tcPr>
            <w:tcW w:w="1144" w:type="dxa"/>
          </w:tcPr>
          <w:p w14:paraId="6866A4DA" w14:textId="498904F9" w:rsidR="00393524" w:rsidRPr="00312A59" w:rsidRDefault="00393524" w:rsidP="00312A59">
            <w:pPr>
              <w:jc w:val="center"/>
            </w:pPr>
          </w:p>
        </w:tc>
        <w:tc>
          <w:tcPr>
            <w:tcW w:w="1433" w:type="dxa"/>
          </w:tcPr>
          <w:p w14:paraId="44CF1FC7" w14:textId="38F9283A" w:rsidR="00393524" w:rsidRPr="00312A59" w:rsidRDefault="00393524" w:rsidP="00312A59">
            <w:pPr>
              <w:jc w:val="center"/>
            </w:pPr>
          </w:p>
        </w:tc>
      </w:tr>
      <w:tr w:rsidR="00393524" w:rsidRPr="00312A59" w14:paraId="0BB98D99" w14:textId="77777777" w:rsidTr="00CB19D1">
        <w:tc>
          <w:tcPr>
            <w:tcW w:w="2509" w:type="dxa"/>
          </w:tcPr>
          <w:p w14:paraId="61631419" w14:textId="77777777" w:rsidR="00393524" w:rsidRPr="00312A59" w:rsidRDefault="00393524" w:rsidP="00312A59">
            <w:pPr>
              <w:jc w:val="both"/>
            </w:pPr>
            <w:r w:rsidRPr="00312A59">
              <w:t>a) buget de stat, din acesta:</w:t>
            </w:r>
          </w:p>
          <w:p w14:paraId="72A61541" w14:textId="6095DA94" w:rsidR="00393524" w:rsidRPr="00312A59" w:rsidRDefault="00393524" w:rsidP="00312A59">
            <w:pPr>
              <w:jc w:val="both"/>
            </w:pPr>
            <w:r w:rsidRPr="00312A59">
              <w:t>(i) cheltuieli de personal</w:t>
            </w:r>
          </w:p>
          <w:p w14:paraId="688A43EA" w14:textId="77777777" w:rsidR="00393524" w:rsidRPr="00312A59" w:rsidRDefault="00393524" w:rsidP="00312A59">
            <w:pPr>
              <w:jc w:val="both"/>
            </w:pPr>
            <w:r w:rsidRPr="00312A59">
              <w:t>(ii) bunuri și servicii</w:t>
            </w:r>
          </w:p>
          <w:p w14:paraId="1B5C5807" w14:textId="77777777" w:rsidR="00393524" w:rsidRPr="00312A59" w:rsidRDefault="00393524" w:rsidP="00312A59">
            <w:pPr>
              <w:jc w:val="both"/>
            </w:pPr>
            <w:r w:rsidRPr="00312A59">
              <w:t>(iii) proiecte cu finantare din fonduri externe nerambursabile (FEN) postaderare</w:t>
            </w:r>
          </w:p>
        </w:tc>
        <w:tc>
          <w:tcPr>
            <w:tcW w:w="1144" w:type="dxa"/>
          </w:tcPr>
          <w:p w14:paraId="08737C74" w14:textId="77777777" w:rsidR="00393524" w:rsidRPr="00312A59" w:rsidRDefault="00393524" w:rsidP="00312A59">
            <w:pPr>
              <w:jc w:val="center"/>
            </w:pPr>
          </w:p>
        </w:tc>
        <w:tc>
          <w:tcPr>
            <w:tcW w:w="1355" w:type="dxa"/>
          </w:tcPr>
          <w:p w14:paraId="6883386E" w14:textId="45FC8326" w:rsidR="005961A5" w:rsidRPr="00312A59" w:rsidRDefault="005961A5" w:rsidP="00312A59">
            <w:pPr>
              <w:jc w:val="center"/>
            </w:pPr>
          </w:p>
        </w:tc>
        <w:tc>
          <w:tcPr>
            <w:tcW w:w="1451" w:type="dxa"/>
          </w:tcPr>
          <w:p w14:paraId="1EC229AC" w14:textId="596767B6" w:rsidR="005961A5" w:rsidRPr="00312A59" w:rsidRDefault="005961A5" w:rsidP="00312A59">
            <w:pPr>
              <w:jc w:val="center"/>
            </w:pPr>
          </w:p>
        </w:tc>
        <w:tc>
          <w:tcPr>
            <w:tcW w:w="1355" w:type="dxa"/>
          </w:tcPr>
          <w:p w14:paraId="09534975" w14:textId="4B8F7424" w:rsidR="005961A5" w:rsidRPr="00312A59" w:rsidRDefault="005961A5" w:rsidP="00312A59">
            <w:pPr>
              <w:jc w:val="center"/>
            </w:pPr>
          </w:p>
        </w:tc>
        <w:tc>
          <w:tcPr>
            <w:tcW w:w="1144" w:type="dxa"/>
          </w:tcPr>
          <w:p w14:paraId="38B03731" w14:textId="0436F631" w:rsidR="005961A5" w:rsidRPr="00312A59" w:rsidRDefault="005961A5" w:rsidP="00312A59">
            <w:pPr>
              <w:jc w:val="center"/>
            </w:pPr>
          </w:p>
        </w:tc>
        <w:tc>
          <w:tcPr>
            <w:tcW w:w="1433" w:type="dxa"/>
          </w:tcPr>
          <w:p w14:paraId="05D9B320" w14:textId="289C034A" w:rsidR="005961A5" w:rsidRPr="00312A59" w:rsidRDefault="005961A5" w:rsidP="00312A59">
            <w:pPr>
              <w:jc w:val="center"/>
            </w:pPr>
          </w:p>
        </w:tc>
      </w:tr>
      <w:tr w:rsidR="00393524" w:rsidRPr="00312A59" w14:paraId="4ED10E51" w14:textId="77777777" w:rsidTr="00CB19D1">
        <w:tc>
          <w:tcPr>
            <w:tcW w:w="2509" w:type="dxa"/>
          </w:tcPr>
          <w:p w14:paraId="6879D82F" w14:textId="77777777" w:rsidR="00393524" w:rsidRPr="00312A59" w:rsidRDefault="00393524" w:rsidP="00312A59">
            <w:pPr>
              <w:jc w:val="both"/>
            </w:pPr>
            <w:r w:rsidRPr="00312A59">
              <w:t>b) bugete locale:</w:t>
            </w:r>
          </w:p>
          <w:p w14:paraId="2567665B" w14:textId="77777777" w:rsidR="00393524" w:rsidRPr="00312A59" w:rsidRDefault="00393524" w:rsidP="00312A59">
            <w:pPr>
              <w:jc w:val="both"/>
            </w:pPr>
            <w:r w:rsidRPr="00312A59">
              <w:t>(i) cheltuieli de personal</w:t>
            </w:r>
          </w:p>
          <w:p w14:paraId="0ACE7E63" w14:textId="77777777" w:rsidR="00393524" w:rsidRPr="00312A59" w:rsidRDefault="00393524" w:rsidP="00312A59">
            <w:pPr>
              <w:jc w:val="both"/>
            </w:pPr>
            <w:r w:rsidRPr="00312A59">
              <w:t>(ii) bunuri și servicii</w:t>
            </w:r>
          </w:p>
        </w:tc>
        <w:tc>
          <w:tcPr>
            <w:tcW w:w="1144" w:type="dxa"/>
          </w:tcPr>
          <w:p w14:paraId="2ED360D3" w14:textId="77777777" w:rsidR="00393524" w:rsidRPr="00312A59" w:rsidRDefault="00393524" w:rsidP="00312A59">
            <w:pPr>
              <w:jc w:val="center"/>
            </w:pPr>
          </w:p>
        </w:tc>
        <w:tc>
          <w:tcPr>
            <w:tcW w:w="1355" w:type="dxa"/>
          </w:tcPr>
          <w:p w14:paraId="7E3655B7" w14:textId="77777777" w:rsidR="00393524" w:rsidRPr="00312A59" w:rsidRDefault="00393524" w:rsidP="00312A59">
            <w:pPr>
              <w:jc w:val="center"/>
            </w:pPr>
          </w:p>
        </w:tc>
        <w:tc>
          <w:tcPr>
            <w:tcW w:w="1451" w:type="dxa"/>
          </w:tcPr>
          <w:p w14:paraId="0583503C" w14:textId="77777777" w:rsidR="00393524" w:rsidRPr="00312A59" w:rsidRDefault="00393524" w:rsidP="00312A59">
            <w:pPr>
              <w:jc w:val="center"/>
            </w:pPr>
          </w:p>
        </w:tc>
        <w:tc>
          <w:tcPr>
            <w:tcW w:w="1355" w:type="dxa"/>
          </w:tcPr>
          <w:p w14:paraId="19A9BFED" w14:textId="77777777" w:rsidR="00393524" w:rsidRPr="00312A59" w:rsidRDefault="00393524" w:rsidP="00312A59">
            <w:pPr>
              <w:jc w:val="center"/>
            </w:pPr>
          </w:p>
        </w:tc>
        <w:tc>
          <w:tcPr>
            <w:tcW w:w="1144" w:type="dxa"/>
          </w:tcPr>
          <w:p w14:paraId="2034AE6F" w14:textId="77777777" w:rsidR="00393524" w:rsidRPr="00312A59" w:rsidRDefault="00393524" w:rsidP="00312A59">
            <w:pPr>
              <w:jc w:val="center"/>
            </w:pPr>
          </w:p>
        </w:tc>
        <w:tc>
          <w:tcPr>
            <w:tcW w:w="1433" w:type="dxa"/>
          </w:tcPr>
          <w:p w14:paraId="201488CE" w14:textId="77777777" w:rsidR="00393524" w:rsidRPr="00312A59" w:rsidRDefault="00393524" w:rsidP="00312A59">
            <w:pPr>
              <w:jc w:val="center"/>
            </w:pPr>
          </w:p>
        </w:tc>
      </w:tr>
      <w:tr w:rsidR="00393524" w:rsidRPr="00312A59" w14:paraId="4001BA5D" w14:textId="77777777" w:rsidTr="00CB19D1">
        <w:tc>
          <w:tcPr>
            <w:tcW w:w="2509" w:type="dxa"/>
          </w:tcPr>
          <w:p w14:paraId="451F1E34" w14:textId="77777777" w:rsidR="00393524" w:rsidRPr="00312A59" w:rsidRDefault="00393524" w:rsidP="00312A59">
            <w:pPr>
              <w:jc w:val="both"/>
            </w:pPr>
            <w:r w:rsidRPr="00312A59">
              <w:lastRenderedPageBreak/>
              <w:t>c) bugetul asigurărilor sociale de stat:</w:t>
            </w:r>
          </w:p>
          <w:p w14:paraId="55D6967E" w14:textId="77777777" w:rsidR="00393524" w:rsidRPr="00312A59" w:rsidRDefault="00393524" w:rsidP="00312A59">
            <w:pPr>
              <w:jc w:val="both"/>
            </w:pPr>
            <w:r w:rsidRPr="00312A59">
              <w:t>(i) cheltuieli de personal</w:t>
            </w:r>
          </w:p>
          <w:p w14:paraId="2458454E" w14:textId="77777777" w:rsidR="00393524" w:rsidRPr="00312A59" w:rsidRDefault="00393524" w:rsidP="00312A59">
            <w:pPr>
              <w:jc w:val="both"/>
            </w:pPr>
            <w:r w:rsidRPr="00312A59">
              <w:t>(ii) bunuri și servicii</w:t>
            </w:r>
          </w:p>
        </w:tc>
        <w:tc>
          <w:tcPr>
            <w:tcW w:w="1144" w:type="dxa"/>
          </w:tcPr>
          <w:p w14:paraId="69677988" w14:textId="77777777" w:rsidR="00393524" w:rsidRPr="00312A59" w:rsidRDefault="00393524" w:rsidP="00312A59">
            <w:pPr>
              <w:jc w:val="center"/>
            </w:pPr>
          </w:p>
        </w:tc>
        <w:tc>
          <w:tcPr>
            <w:tcW w:w="1355" w:type="dxa"/>
          </w:tcPr>
          <w:p w14:paraId="41AE3916" w14:textId="77777777" w:rsidR="00393524" w:rsidRPr="00312A59" w:rsidRDefault="00393524" w:rsidP="00312A59">
            <w:pPr>
              <w:jc w:val="center"/>
            </w:pPr>
          </w:p>
        </w:tc>
        <w:tc>
          <w:tcPr>
            <w:tcW w:w="1451" w:type="dxa"/>
          </w:tcPr>
          <w:p w14:paraId="53D0E34C" w14:textId="77777777" w:rsidR="00393524" w:rsidRPr="00312A59" w:rsidRDefault="00393524" w:rsidP="00312A59">
            <w:pPr>
              <w:jc w:val="center"/>
            </w:pPr>
          </w:p>
        </w:tc>
        <w:tc>
          <w:tcPr>
            <w:tcW w:w="1355" w:type="dxa"/>
          </w:tcPr>
          <w:p w14:paraId="0FACC071" w14:textId="77777777" w:rsidR="00393524" w:rsidRPr="00312A59" w:rsidRDefault="00393524" w:rsidP="00312A59">
            <w:pPr>
              <w:jc w:val="center"/>
            </w:pPr>
          </w:p>
        </w:tc>
        <w:tc>
          <w:tcPr>
            <w:tcW w:w="1144" w:type="dxa"/>
          </w:tcPr>
          <w:p w14:paraId="715F5CC1" w14:textId="77777777" w:rsidR="00393524" w:rsidRPr="00312A59" w:rsidRDefault="00393524" w:rsidP="00312A59">
            <w:pPr>
              <w:jc w:val="center"/>
            </w:pPr>
          </w:p>
        </w:tc>
        <w:tc>
          <w:tcPr>
            <w:tcW w:w="1433" w:type="dxa"/>
          </w:tcPr>
          <w:p w14:paraId="727650AC" w14:textId="77777777" w:rsidR="00393524" w:rsidRPr="00312A59" w:rsidRDefault="00393524" w:rsidP="00312A59">
            <w:pPr>
              <w:jc w:val="center"/>
            </w:pPr>
          </w:p>
        </w:tc>
      </w:tr>
      <w:tr w:rsidR="00393524" w:rsidRPr="00312A59" w14:paraId="19DDA2B5" w14:textId="77777777" w:rsidTr="00CB19D1">
        <w:tc>
          <w:tcPr>
            <w:tcW w:w="2509" w:type="dxa"/>
          </w:tcPr>
          <w:p w14:paraId="1D576092" w14:textId="77777777" w:rsidR="00393524" w:rsidRPr="00312A59" w:rsidRDefault="00393524" w:rsidP="00312A59">
            <w:pPr>
              <w:jc w:val="both"/>
            </w:pPr>
            <w:r w:rsidRPr="00312A59">
              <w:t>d) alte tipuri de cheltuieli</w:t>
            </w:r>
          </w:p>
          <w:p w14:paraId="3C209243" w14:textId="77777777" w:rsidR="00393524" w:rsidRPr="00312A59" w:rsidRDefault="00393524" w:rsidP="00312A59">
            <w:pPr>
              <w:jc w:val="both"/>
            </w:pPr>
            <w:r w:rsidRPr="00312A59">
              <w:t>(Se va menționa natura acestora.)</w:t>
            </w:r>
          </w:p>
        </w:tc>
        <w:tc>
          <w:tcPr>
            <w:tcW w:w="1144" w:type="dxa"/>
          </w:tcPr>
          <w:p w14:paraId="4897EA48" w14:textId="77777777" w:rsidR="00393524" w:rsidRPr="00312A59" w:rsidRDefault="00393524" w:rsidP="00312A59">
            <w:pPr>
              <w:jc w:val="center"/>
            </w:pPr>
          </w:p>
        </w:tc>
        <w:tc>
          <w:tcPr>
            <w:tcW w:w="1355" w:type="dxa"/>
          </w:tcPr>
          <w:p w14:paraId="0703B31D" w14:textId="77777777" w:rsidR="00393524" w:rsidRPr="00312A59" w:rsidRDefault="00393524" w:rsidP="00312A59">
            <w:pPr>
              <w:jc w:val="center"/>
            </w:pPr>
          </w:p>
        </w:tc>
        <w:tc>
          <w:tcPr>
            <w:tcW w:w="1451" w:type="dxa"/>
          </w:tcPr>
          <w:p w14:paraId="33FB02AD" w14:textId="77777777" w:rsidR="00393524" w:rsidRPr="00312A59" w:rsidRDefault="00393524" w:rsidP="00312A59">
            <w:pPr>
              <w:jc w:val="center"/>
            </w:pPr>
          </w:p>
        </w:tc>
        <w:tc>
          <w:tcPr>
            <w:tcW w:w="1355" w:type="dxa"/>
          </w:tcPr>
          <w:p w14:paraId="3FA287F4" w14:textId="77777777" w:rsidR="00393524" w:rsidRPr="00312A59" w:rsidRDefault="00393524" w:rsidP="00312A59">
            <w:pPr>
              <w:jc w:val="center"/>
            </w:pPr>
          </w:p>
        </w:tc>
        <w:tc>
          <w:tcPr>
            <w:tcW w:w="1144" w:type="dxa"/>
          </w:tcPr>
          <w:p w14:paraId="59468510" w14:textId="77777777" w:rsidR="00393524" w:rsidRPr="00312A59" w:rsidRDefault="00393524" w:rsidP="00312A59">
            <w:pPr>
              <w:jc w:val="center"/>
            </w:pPr>
          </w:p>
        </w:tc>
        <w:tc>
          <w:tcPr>
            <w:tcW w:w="1433" w:type="dxa"/>
          </w:tcPr>
          <w:p w14:paraId="016BA676" w14:textId="77777777" w:rsidR="00393524" w:rsidRPr="00312A59" w:rsidRDefault="00393524" w:rsidP="00312A59">
            <w:pPr>
              <w:jc w:val="center"/>
            </w:pPr>
          </w:p>
        </w:tc>
      </w:tr>
      <w:tr w:rsidR="00393524" w:rsidRPr="00312A59" w14:paraId="5F06E0E4" w14:textId="77777777" w:rsidTr="00CB19D1">
        <w:tc>
          <w:tcPr>
            <w:tcW w:w="2509" w:type="dxa"/>
          </w:tcPr>
          <w:p w14:paraId="66B7C92D" w14:textId="77777777" w:rsidR="00393524" w:rsidRPr="00312A59" w:rsidRDefault="00393524" w:rsidP="00312A59">
            <w:pPr>
              <w:jc w:val="both"/>
              <w:rPr>
                <w:b/>
                <w:bCs/>
              </w:rPr>
            </w:pPr>
            <w:r w:rsidRPr="00312A59">
              <w:rPr>
                <w:b/>
                <w:bCs/>
              </w:rPr>
              <w:t>4.3. Impact financiar, plus/minus, din care:</w:t>
            </w:r>
          </w:p>
          <w:p w14:paraId="33ADBD5F" w14:textId="77777777" w:rsidR="00393524" w:rsidRPr="00312A59" w:rsidRDefault="00393524" w:rsidP="00312A59">
            <w:pPr>
              <w:jc w:val="both"/>
            </w:pPr>
            <w:r w:rsidRPr="00312A59">
              <w:t>a) buget de stat</w:t>
            </w:r>
          </w:p>
        </w:tc>
        <w:tc>
          <w:tcPr>
            <w:tcW w:w="1144" w:type="dxa"/>
          </w:tcPr>
          <w:p w14:paraId="2B46A49A" w14:textId="1D2345D9" w:rsidR="00393524" w:rsidRPr="00312A59" w:rsidRDefault="00393524" w:rsidP="00312A59">
            <w:pPr>
              <w:jc w:val="center"/>
            </w:pPr>
          </w:p>
        </w:tc>
        <w:tc>
          <w:tcPr>
            <w:tcW w:w="1355" w:type="dxa"/>
          </w:tcPr>
          <w:p w14:paraId="50257F89" w14:textId="7D484076" w:rsidR="005961A5" w:rsidRPr="00312A59" w:rsidRDefault="005961A5" w:rsidP="00312A59">
            <w:pPr>
              <w:jc w:val="center"/>
            </w:pPr>
          </w:p>
        </w:tc>
        <w:tc>
          <w:tcPr>
            <w:tcW w:w="1451" w:type="dxa"/>
          </w:tcPr>
          <w:p w14:paraId="499A9192" w14:textId="39A1550A" w:rsidR="005961A5" w:rsidRPr="00312A59" w:rsidRDefault="005961A5" w:rsidP="00312A59">
            <w:pPr>
              <w:jc w:val="center"/>
            </w:pPr>
          </w:p>
        </w:tc>
        <w:tc>
          <w:tcPr>
            <w:tcW w:w="1355" w:type="dxa"/>
          </w:tcPr>
          <w:p w14:paraId="49CF6FF8" w14:textId="393ECF3E" w:rsidR="005961A5" w:rsidRPr="00312A59" w:rsidRDefault="005961A5" w:rsidP="00312A59">
            <w:pPr>
              <w:jc w:val="center"/>
            </w:pPr>
          </w:p>
        </w:tc>
        <w:tc>
          <w:tcPr>
            <w:tcW w:w="1144" w:type="dxa"/>
          </w:tcPr>
          <w:p w14:paraId="36076672" w14:textId="51F82F63" w:rsidR="005961A5" w:rsidRPr="00312A59" w:rsidRDefault="005961A5" w:rsidP="00312A59">
            <w:pPr>
              <w:jc w:val="center"/>
            </w:pPr>
          </w:p>
        </w:tc>
        <w:tc>
          <w:tcPr>
            <w:tcW w:w="1433" w:type="dxa"/>
          </w:tcPr>
          <w:p w14:paraId="54F1E5BA" w14:textId="6F029AC3" w:rsidR="005961A5" w:rsidRPr="00312A59" w:rsidRDefault="005961A5" w:rsidP="00312A59">
            <w:pPr>
              <w:jc w:val="center"/>
            </w:pPr>
          </w:p>
        </w:tc>
      </w:tr>
      <w:tr w:rsidR="00393524" w:rsidRPr="00312A59" w14:paraId="269D87F4" w14:textId="77777777" w:rsidTr="00CB19D1">
        <w:tc>
          <w:tcPr>
            <w:tcW w:w="2509" w:type="dxa"/>
          </w:tcPr>
          <w:p w14:paraId="25EE803E" w14:textId="77777777" w:rsidR="00393524" w:rsidRPr="00312A59" w:rsidRDefault="00393524" w:rsidP="00312A59">
            <w:pPr>
              <w:jc w:val="both"/>
            </w:pPr>
            <w:r w:rsidRPr="00312A59">
              <w:t>b) bugete locale</w:t>
            </w:r>
          </w:p>
        </w:tc>
        <w:tc>
          <w:tcPr>
            <w:tcW w:w="1144" w:type="dxa"/>
          </w:tcPr>
          <w:p w14:paraId="49BA9633" w14:textId="77777777" w:rsidR="00393524" w:rsidRPr="00312A59" w:rsidRDefault="00393524" w:rsidP="00312A59">
            <w:pPr>
              <w:jc w:val="center"/>
            </w:pPr>
          </w:p>
        </w:tc>
        <w:tc>
          <w:tcPr>
            <w:tcW w:w="1355" w:type="dxa"/>
          </w:tcPr>
          <w:p w14:paraId="16210DE7" w14:textId="77777777" w:rsidR="00393524" w:rsidRPr="00312A59" w:rsidRDefault="00393524" w:rsidP="00312A59">
            <w:pPr>
              <w:jc w:val="center"/>
            </w:pPr>
          </w:p>
        </w:tc>
        <w:tc>
          <w:tcPr>
            <w:tcW w:w="1451" w:type="dxa"/>
          </w:tcPr>
          <w:p w14:paraId="0D1F1590" w14:textId="77777777" w:rsidR="00393524" w:rsidRPr="00312A59" w:rsidRDefault="00393524" w:rsidP="00312A59">
            <w:pPr>
              <w:jc w:val="center"/>
            </w:pPr>
          </w:p>
        </w:tc>
        <w:tc>
          <w:tcPr>
            <w:tcW w:w="1355" w:type="dxa"/>
          </w:tcPr>
          <w:p w14:paraId="7C8AE317" w14:textId="77777777" w:rsidR="00393524" w:rsidRPr="00312A59" w:rsidRDefault="00393524" w:rsidP="00312A59">
            <w:pPr>
              <w:jc w:val="center"/>
            </w:pPr>
          </w:p>
        </w:tc>
        <w:tc>
          <w:tcPr>
            <w:tcW w:w="1144" w:type="dxa"/>
          </w:tcPr>
          <w:p w14:paraId="7736E8E1" w14:textId="77777777" w:rsidR="00393524" w:rsidRPr="00312A59" w:rsidRDefault="00393524" w:rsidP="00312A59">
            <w:pPr>
              <w:jc w:val="center"/>
            </w:pPr>
          </w:p>
        </w:tc>
        <w:tc>
          <w:tcPr>
            <w:tcW w:w="1433" w:type="dxa"/>
          </w:tcPr>
          <w:p w14:paraId="109105F0" w14:textId="77777777" w:rsidR="00393524" w:rsidRPr="00312A59" w:rsidRDefault="00393524" w:rsidP="00312A59">
            <w:pPr>
              <w:jc w:val="center"/>
            </w:pPr>
          </w:p>
        </w:tc>
      </w:tr>
      <w:tr w:rsidR="00393524" w:rsidRPr="00312A59" w14:paraId="2397051E" w14:textId="77777777" w:rsidTr="00CB19D1">
        <w:tc>
          <w:tcPr>
            <w:tcW w:w="2509" w:type="dxa"/>
          </w:tcPr>
          <w:p w14:paraId="04756539" w14:textId="77777777" w:rsidR="00393524" w:rsidRPr="00312A59" w:rsidRDefault="00393524" w:rsidP="00312A59">
            <w:pPr>
              <w:jc w:val="both"/>
              <w:rPr>
                <w:b/>
                <w:bCs/>
              </w:rPr>
            </w:pPr>
            <w:r w:rsidRPr="00312A59">
              <w:rPr>
                <w:b/>
                <w:bCs/>
              </w:rPr>
              <w:t>4.4. Propuneri pentru acoperirea creșterii cheltuielilor bugetare</w:t>
            </w:r>
          </w:p>
        </w:tc>
        <w:tc>
          <w:tcPr>
            <w:tcW w:w="1144" w:type="dxa"/>
          </w:tcPr>
          <w:p w14:paraId="26B8FD6C" w14:textId="77777777" w:rsidR="00393524" w:rsidRPr="00312A59" w:rsidRDefault="00393524" w:rsidP="00312A59">
            <w:pPr>
              <w:jc w:val="center"/>
            </w:pPr>
          </w:p>
        </w:tc>
        <w:tc>
          <w:tcPr>
            <w:tcW w:w="1355" w:type="dxa"/>
          </w:tcPr>
          <w:p w14:paraId="21DED72D" w14:textId="77777777" w:rsidR="00393524" w:rsidRPr="00312A59" w:rsidRDefault="00393524" w:rsidP="00312A59">
            <w:pPr>
              <w:jc w:val="center"/>
            </w:pPr>
          </w:p>
        </w:tc>
        <w:tc>
          <w:tcPr>
            <w:tcW w:w="1451" w:type="dxa"/>
          </w:tcPr>
          <w:p w14:paraId="7CF1A300" w14:textId="77777777" w:rsidR="00393524" w:rsidRPr="00312A59" w:rsidRDefault="00393524" w:rsidP="00312A59">
            <w:pPr>
              <w:jc w:val="center"/>
            </w:pPr>
          </w:p>
        </w:tc>
        <w:tc>
          <w:tcPr>
            <w:tcW w:w="1355" w:type="dxa"/>
          </w:tcPr>
          <w:p w14:paraId="5D07260B" w14:textId="77777777" w:rsidR="00393524" w:rsidRPr="00312A59" w:rsidRDefault="00393524" w:rsidP="00312A59">
            <w:pPr>
              <w:jc w:val="center"/>
            </w:pPr>
          </w:p>
        </w:tc>
        <w:tc>
          <w:tcPr>
            <w:tcW w:w="1144" w:type="dxa"/>
          </w:tcPr>
          <w:p w14:paraId="764B5553" w14:textId="77777777" w:rsidR="00393524" w:rsidRPr="00312A59" w:rsidRDefault="00393524" w:rsidP="00312A59">
            <w:pPr>
              <w:jc w:val="center"/>
            </w:pPr>
          </w:p>
        </w:tc>
        <w:tc>
          <w:tcPr>
            <w:tcW w:w="1433" w:type="dxa"/>
          </w:tcPr>
          <w:p w14:paraId="43154F7B" w14:textId="77777777" w:rsidR="00393524" w:rsidRPr="00312A59" w:rsidRDefault="00393524" w:rsidP="00312A59">
            <w:pPr>
              <w:jc w:val="center"/>
            </w:pPr>
          </w:p>
        </w:tc>
      </w:tr>
      <w:tr w:rsidR="00393524" w:rsidRPr="00312A59" w14:paraId="5A19A506" w14:textId="77777777" w:rsidTr="00CB19D1">
        <w:tc>
          <w:tcPr>
            <w:tcW w:w="2509" w:type="dxa"/>
          </w:tcPr>
          <w:p w14:paraId="73AC04CC" w14:textId="77777777" w:rsidR="00393524" w:rsidRPr="00312A59" w:rsidRDefault="00393524" w:rsidP="00312A59">
            <w:pPr>
              <w:jc w:val="both"/>
              <w:rPr>
                <w:b/>
                <w:bCs/>
              </w:rPr>
            </w:pPr>
            <w:r w:rsidRPr="00312A59">
              <w:rPr>
                <w:b/>
                <w:bCs/>
              </w:rPr>
              <w:t>4.5. Propuneri pentru a compensa reducerea veniturilor bugetare</w:t>
            </w:r>
          </w:p>
        </w:tc>
        <w:tc>
          <w:tcPr>
            <w:tcW w:w="1144" w:type="dxa"/>
          </w:tcPr>
          <w:p w14:paraId="2940E917" w14:textId="77777777" w:rsidR="00393524" w:rsidRPr="00312A59" w:rsidRDefault="00393524" w:rsidP="00312A59">
            <w:pPr>
              <w:jc w:val="center"/>
            </w:pPr>
          </w:p>
        </w:tc>
        <w:tc>
          <w:tcPr>
            <w:tcW w:w="1355" w:type="dxa"/>
          </w:tcPr>
          <w:p w14:paraId="3A3AEF3F" w14:textId="77777777" w:rsidR="00393524" w:rsidRPr="00312A59" w:rsidRDefault="00393524" w:rsidP="00312A59">
            <w:pPr>
              <w:jc w:val="center"/>
            </w:pPr>
          </w:p>
        </w:tc>
        <w:tc>
          <w:tcPr>
            <w:tcW w:w="1451" w:type="dxa"/>
          </w:tcPr>
          <w:p w14:paraId="01F92034" w14:textId="77777777" w:rsidR="00393524" w:rsidRPr="00312A59" w:rsidRDefault="00393524" w:rsidP="00312A59">
            <w:pPr>
              <w:jc w:val="center"/>
            </w:pPr>
          </w:p>
        </w:tc>
        <w:tc>
          <w:tcPr>
            <w:tcW w:w="1355" w:type="dxa"/>
          </w:tcPr>
          <w:p w14:paraId="4D5515F9" w14:textId="77777777" w:rsidR="00393524" w:rsidRPr="00312A59" w:rsidRDefault="00393524" w:rsidP="00312A59">
            <w:pPr>
              <w:jc w:val="center"/>
            </w:pPr>
          </w:p>
        </w:tc>
        <w:tc>
          <w:tcPr>
            <w:tcW w:w="1144" w:type="dxa"/>
          </w:tcPr>
          <w:p w14:paraId="5438DC4E" w14:textId="77777777" w:rsidR="00393524" w:rsidRPr="00312A59" w:rsidRDefault="00393524" w:rsidP="00312A59">
            <w:pPr>
              <w:jc w:val="center"/>
            </w:pPr>
          </w:p>
        </w:tc>
        <w:tc>
          <w:tcPr>
            <w:tcW w:w="1433" w:type="dxa"/>
          </w:tcPr>
          <w:p w14:paraId="24688DEE" w14:textId="77777777" w:rsidR="00393524" w:rsidRPr="00312A59" w:rsidRDefault="00393524" w:rsidP="00312A59">
            <w:pPr>
              <w:jc w:val="center"/>
            </w:pPr>
          </w:p>
        </w:tc>
      </w:tr>
      <w:tr w:rsidR="00393524" w:rsidRPr="00312A59" w14:paraId="1D25F35B" w14:textId="77777777" w:rsidTr="00CB19D1">
        <w:tc>
          <w:tcPr>
            <w:tcW w:w="2509" w:type="dxa"/>
          </w:tcPr>
          <w:p w14:paraId="24DCAE8C" w14:textId="77777777" w:rsidR="00393524" w:rsidRPr="00312A59" w:rsidRDefault="00393524" w:rsidP="00312A59">
            <w:pPr>
              <w:jc w:val="both"/>
              <w:rPr>
                <w:b/>
                <w:bCs/>
              </w:rPr>
            </w:pPr>
            <w:r w:rsidRPr="00312A59">
              <w:rPr>
                <w:b/>
                <w:bCs/>
              </w:rPr>
              <w:t>4.6. Calcule detaliate privind fundamentarea modificărilor  veniturilor și/sau cheltuielilor bugetare</w:t>
            </w:r>
          </w:p>
        </w:tc>
        <w:tc>
          <w:tcPr>
            <w:tcW w:w="1144" w:type="dxa"/>
          </w:tcPr>
          <w:p w14:paraId="412102C2" w14:textId="77777777" w:rsidR="00393524" w:rsidRPr="00312A59" w:rsidRDefault="00393524" w:rsidP="00312A59">
            <w:pPr>
              <w:jc w:val="center"/>
            </w:pPr>
          </w:p>
        </w:tc>
        <w:tc>
          <w:tcPr>
            <w:tcW w:w="1355" w:type="dxa"/>
          </w:tcPr>
          <w:p w14:paraId="2A739469" w14:textId="77777777" w:rsidR="00393524" w:rsidRPr="00312A59" w:rsidRDefault="00393524" w:rsidP="00312A59">
            <w:pPr>
              <w:jc w:val="center"/>
            </w:pPr>
          </w:p>
        </w:tc>
        <w:tc>
          <w:tcPr>
            <w:tcW w:w="1451" w:type="dxa"/>
          </w:tcPr>
          <w:p w14:paraId="2F114202" w14:textId="77777777" w:rsidR="00393524" w:rsidRPr="00312A59" w:rsidRDefault="00393524" w:rsidP="00312A59">
            <w:pPr>
              <w:jc w:val="center"/>
            </w:pPr>
          </w:p>
        </w:tc>
        <w:tc>
          <w:tcPr>
            <w:tcW w:w="1355" w:type="dxa"/>
          </w:tcPr>
          <w:p w14:paraId="441E139A" w14:textId="77777777" w:rsidR="00393524" w:rsidRPr="00312A59" w:rsidRDefault="00393524" w:rsidP="00312A59">
            <w:pPr>
              <w:jc w:val="center"/>
            </w:pPr>
          </w:p>
        </w:tc>
        <w:tc>
          <w:tcPr>
            <w:tcW w:w="1144" w:type="dxa"/>
          </w:tcPr>
          <w:p w14:paraId="50E2E2B8" w14:textId="77777777" w:rsidR="00393524" w:rsidRPr="00312A59" w:rsidRDefault="00393524" w:rsidP="00312A59">
            <w:pPr>
              <w:jc w:val="center"/>
            </w:pPr>
          </w:p>
        </w:tc>
        <w:tc>
          <w:tcPr>
            <w:tcW w:w="1433" w:type="dxa"/>
          </w:tcPr>
          <w:p w14:paraId="2B209CA3" w14:textId="77777777" w:rsidR="00393524" w:rsidRPr="00312A59" w:rsidRDefault="00393524" w:rsidP="00312A59">
            <w:pPr>
              <w:jc w:val="center"/>
            </w:pPr>
          </w:p>
        </w:tc>
      </w:tr>
      <w:tr w:rsidR="00393524" w:rsidRPr="00312A59" w14:paraId="4CA449D0" w14:textId="77777777" w:rsidTr="00CB19D1">
        <w:tc>
          <w:tcPr>
            <w:tcW w:w="10391" w:type="dxa"/>
            <w:gridSpan w:val="7"/>
          </w:tcPr>
          <w:p w14:paraId="139D606F" w14:textId="0F8ACB2D" w:rsidR="00393524" w:rsidRPr="008C56D7" w:rsidRDefault="00393524" w:rsidP="00312A59">
            <w:pPr>
              <w:jc w:val="both"/>
              <w:rPr>
                <w:b/>
                <w:color w:val="000000" w:themeColor="text1"/>
              </w:rPr>
            </w:pPr>
            <w:r w:rsidRPr="008C56D7">
              <w:rPr>
                <w:b/>
                <w:color w:val="000000" w:themeColor="text1"/>
              </w:rPr>
              <w:t>4.7. Prezentarea, în cazul proiectelor de acte normative a căror adaptare atrage majorarea cheltuielilor bugetare, a următoarelor documente:</w:t>
            </w:r>
            <w:r w:rsidR="00022BD3">
              <w:rPr>
                <w:b/>
                <w:color w:val="000000" w:themeColor="text1"/>
              </w:rPr>
              <w:t xml:space="preserve"> - NU E CAZUL</w:t>
            </w:r>
          </w:p>
          <w:p w14:paraId="17892BB0" w14:textId="77777777" w:rsidR="00393524" w:rsidRPr="00312A59" w:rsidRDefault="00393524" w:rsidP="00312A59">
            <w:pPr>
              <w:jc w:val="both"/>
              <w:rPr>
                <w:bCs/>
                <w:color w:val="000000" w:themeColor="text1"/>
              </w:rPr>
            </w:pPr>
            <w:r w:rsidRPr="00312A59">
              <w:rPr>
                <w:bCs/>
                <w:color w:val="000000" w:themeColor="text1"/>
              </w:rPr>
              <w:t>a) fișa financiară prevăzută la art. 15 din Legea nr. 500/2002 privind finanțele publice, cu modificările și completările ulterioare, însoțită de ipotezele și metodologia de calcul utilizată;</w:t>
            </w:r>
          </w:p>
          <w:p w14:paraId="2ED8C257" w14:textId="03B1D5E4" w:rsidR="009E2A76" w:rsidRPr="00660C72" w:rsidRDefault="00393524" w:rsidP="00660C72">
            <w:pPr>
              <w:jc w:val="both"/>
              <w:rPr>
                <w:bCs/>
                <w:color w:val="000000" w:themeColor="text1"/>
              </w:rPr>
            </w:pPr>
            <w:r w:rsidRPr="00312A59">
              <w:rPr>
                <w:bCs/>
                <w:color w:val="000000" w:themeColor="text1"/>
              </w:rPr>
              <w:t>b) declarație conform căreia majorarea de cheltuială respectivă este compatibilă cu obiectivele și prioritățile strategice specificate în strategia fiscal-bugetară, cu legea bugetară anuală și cu plafoanele de cheltuieli prezentate în strategia fiscal-bugetară.</w:t>
            </w:r>
          </w:p>
        </w:tc>
      </w:tr>
      <w:tr w:rsidR="00E11397" w:rsidRPr="00312A59" w14:paraId="20593F6D" w14:textId="77777777" w:rsidTr="00CB19D1">
        <w:tc>
          <w:tcPr>
            <w:tcW w:w="10391" w:type="dxa"/>
            <w:gridSpan w:val="7"/>
          </w:tcPr>
          <w:p w14:paraId="258B7BF6" w14:textId="77777777" w:rsidR="00E11397" w:rsidRDefault="00E11397" w:rsidP="00312A59">
            <w:pPr>
              <w:jc w:val="both"/>
              <w:rPr>
                <w:b/>
                <w:color w:val="000000" w:themeColor="text1"/>
              </w:rPr>
            </w:pPr>
            <w:r>
              <w:rPr>
                <w:b/>
                <w:color w:val="000000" w:themeColor="text1"/>
              </w:rPr>
              <w:t>4.8 Alte informații</w:t>
            </w:r>
          </w:p>
          <w:p w14:paraId="710322C1" w14:textId="58673437" w:rsidR="009E2A76" w:rsidRPr="00E71AF3" w:rsidRDefault="007366A3" w:rsidP="007366A3">
            <w:pPr>
              <w:jc w:val="both"/>
              <w:rPr>
                <w:color w:val="000000" w:themeColor="text1"/>
              </w:rPr>
            </w:pPr>
            <w:r w:rsidRPr="00312A59">
              <w:rPr>
                <w:color w:val="000000" w:themeColor="text1"/>
              </w:rPr>
              <w:t xml:space="preserve">Prezentul act normativ nu se referă la acest subiect. </w:t>
            </w:r>
          </w:p>
        </w:tc>
      </w:tr>
    </w:tbl>
    <w:p w14:paraId="132CA11C" w14:textId="77777777" w:rsidR="009E2A76" w:rsidRPr="00312A59" w:rsidRDefault="009E2A76" w:rsidP="00312A59">
      <w:pPr>
        <w:jc w:val="both"/>
        <w:rPr>
          <w:b/>
        </w:rPr>
      </w:pPr>
    </w:p>
    <w:p w14:paraId="5AAFFB31" w14:textId="48E95673" w:rsidR="00302525" w:rsidRPr="00312A59" w:rsidRDefault="00737B47" w:rsidP="00312A59">
      <w:pPr>
        <w:jc w:val="both"/>
        <w:rPr>
          <w:b/>
        </w:rPr>
      </w:pPr>
      <w:r w:rsidRPr="00312A59">
        <w:rPr>
          <w:b/>
        </w:rPr>
        <w:tab/>
      </w:r>
      <w:r w:rsidR="00670C79" w:rsidRPr="00312A59">
        <w:rPr>
          <w:b/>
        </w:rPr>
        <w:t>Sec</w:t>
      </w:r>
      <w:r w:rsidR="008E1D00" w:rsidRPr="00312A59">
        <w:rPr>
          <w:b/>
        </w:rPr>
        <w:t>ț</w:t>
      </w:r>
      <w:r w:rsidR="00670C79" w:rsidRPr="00312A59">
        <w:rPr>
          <w:b/>
        </w:rPr>
        <w:t xml:space="preserve">iunea a 5-a </w:t>
      </w:r>
    </w:p>
    <w:p w14:paraId="2915A120" w14:textId="26D20A1E" w:rsidR="009E2A76" w:rsidRPr="00312A59" w:rsidRDefault="0047644D" w:rsidP="00312A59">
      <w:pPr>
        <w:jc w:val="both"/>
        <w:rPr>
          <w:b/>
        </w:rPr>
      </w:pPr>
      <w:r w:rsidRPr="00312A59">
        <w:rPr>
          <w:b/>
        </w:rPr>
        <w:tab/>
      </w:r>
      <w:r w:rsidR="00670C79" w:rsidRPr="00312A59">
        <w:rPr>
          <w:b/>
        </w:rPr>
        <w:t>Efectele proiectului de act normativ asupra legisla</w:t>
      </w:r>
      <w:r w:rsidR="008E1D00" w:rsidRPr="00312A59">
        <w:rPr>
          <w:b/>
        </w:rPr>
        <w:t>ț</w:t>
      </w:r>
      <w:r w:rsidR="00670C79" w:rsidRPr="00312A59">
        <w:rPr>
          <w:b/>
        </w:rPr>
        <w:t>iei în vigoare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3"/>
      </w:tblGrid>
      <w:tr w:rsidR="00973701" w:rsidRPr="00312A59" w14:paraId="327176B4" w14:textId="77777777" w:rsidTr="005144FA">
        <w:trPr>
          <w:trHeight w:val="561"/>
        </w:trPr>
        <w:tc>
          <w:tcPr>
            <w:tcW w:w="10533" w:type="dxa"/>
          </w:tcPr>
          <w:p w14:paraId="4F9076D7" w14:textId="407D2D2C" w:rsidR="00973701" w:rsidRPr="00312A59" w:rsidRDefault="00973701" w:rsidP="00312A59">
            <w:pPr>
              <w:jc w:val="both"/>
              <w:rPr>
                <w:b/>
                <w:bCs/>
              </w:rPr>
            </w:pPr>
            <w:r w:rsidRPr="00312A59">
              <w:rPr>
                <w:b/>
                <w:bCs/>
              </w:rPr>
              <w:t>5.1. Măsuri normative necesare pentru aplicarea prevederilor proiectului de act normativ</w:t>
            </w:r>
          </w:p>
          <w:p w14:paraId="2734C2C9" w14:textId="77777777" w:rsidR="00E34C9F" w:rsidRDefault="00E34C9F" w:rsidP="00312A59">
            <w:pPr>
              <w:tabs>
                <w:tab w:val="left" w:pos="201"/>
              </w:tabs>
              <w:jc w:val="both"/>
              <w:rPr>
                <w:color w:val="000000" w:themeColor="text1"/>
              </w:rPr>
            </w:pPr>
            <w:r w:rsidRPr="00312A59">
              <w:rPr>
                <w:color w:val="000000" w:themeColor="text1"/>
              </w:rPr>
              <w:t xml:space="preserve">Prezentul act normativ nu se referă la acest subiect. </w:t>
            </w:r>
          </w:p>
          <w:p w14:paraId="6EAD20C6" w14:textId="77777777" w:rsidR="009E2A76" w:rsidRPr="00312A59" w:rsidRDefault="009E2A76" w:rsidP="00312A59">
            <w:pPr>
              <w:tabs>
                <w:tab w:val="left" w:pos="201"/>
              </w:tabs>
              <w:jc w:val="both"/>
              <w:rPr>
                <w:color w:val="000000" w:themeColor="text1"/>
              </w:rPr>
            </w:pPr>
          </w:p>
          <w:p w14:paraId="79B335E6" w14:textId="7FF2F883" w:rsidR="00973701" w:rsidRPr="00312A59" w:rsidRDefault="00973701" w:rsidP="00312A59">
            <w:pPr>
              <w:tabs>
                <w:tab w:val="left" w:pos="201"/>
              </w:tabs>
              <w:jc w:val="both"/>
              <w:rPr>
                <w:b/>
                <w:bCs/>
              </w:rPr>
            </w:pPr>
            <w:r w:rsidRPr="00312A59">
              <w:rPr>
                <w:b/>
                <w:bCs/>
              </w:rPr>
              <w:t>5.2. Impactul asupra legislației în domeniul achizițiilor publice</w:t>
            </w:r>
          </w:p>
          <w:p w14:paraId="142A264C" w14:textId="77777777" w:rsidR="00E34C9F" w:rsidRDefault="00E34C9F" w:rsidP="00312A59">
            <w:pPr>
              <w:tabs>
                <w:tab w:val="left" w:pos="201"/>
              </w:tabs>
              <w:jc w:val="both"/>
              <w:rPr>
                <w:color w:val="000000" w:themeColor="text1"/>
              </w:rPr>
            </w:pPr>
            <w:r w:rsidRPr="00312A59">
              <w:rPr>
                <w:color w:val="000000" w:themeColor="text1"/>
              </w:rPr>
              <w:t xml:space="preserve">Prezentul act normativ nu se referă la acest subiect. </w:t>
            </w:r>
          </w:p>
          <w:p w14:paraId="646F4443" w14:textId="77777777" w:rsidR="009E2A76" w:rsidRPr="00312A59" w:rsidRDefault="009E2A76" w:rsidP="00312A59">
            <w:pPr>
              <w:tabs>
                <w:tab w:val="left" w:pos="201"/>
              </w:tabs>
              <w:jc w:val="both"/>
              <w:rPr>
                <w:color w:val="000000" w:themeColor="text1"/>
              </w:rPr>
            </w:pPr>
          </w:p>
          <w:p w14:paraId="3CE6B9A6" w14:textId="0CF07188" w:rsidR="00973701" w:rsidRDefault="00973701" w:rsidP="00312A59">
            <w:pPr>
              <w:tabs>
                <w:tab w:val="left" w:pos="201"/>
              </w:tabs>
              <w:jc w:val="both"/>
              <w:rPr>
                <w:b/>
                <w:bCs/>
              </w:rPr>
            </w:pPr>
            <w:r w:rsidRPr="00312A59">
              <w:rPr>
                <w:b/>
                <w:bCs/>
              </w:rPr>
              <w:t>5.3. Conformitatea  proiectului de act normativ cu legisla</w:t>
            </w:r>
            <w:r w:rsidR="008E1D00" w:rsidRPr="00312A59">
              <w:rPr>
                <w:b/>
                <w:bCs/>
              </w:rPr>
              <w:t>ț</w:t>
            </w:r>
            <w:r w:rsidRPr="00312A59">
              <w:rPr>
                <w:b/>
                <w:bCs/>
              </w:rPr>
              <w:t>ia UE (în cazul proiectelor ce transpun sau asigură aplicarea unor prevederi de drept UE)</w:t>
            </w:r>
          </w:p>
          <w:p w14:paraId="796ED1EB" w14:textId="77777777" w:rsidR="009E2A76" w:rsidRPr="00312A59" w:rsidRDefault="009E2A76" w:rsidP="00312A59">
            <w:pPr>
              <w:tabs>
                <w:tab w:val="left" w:pos="201"/>
              </w:tabs>
              <w:jc w:val="both"/>
              <w:rPr>
                <w:b/>
                <w:bCs/>
              </w:rPr>
            </w:pPr>
          </w:p>
          <w:p w14:paraId="09158D06" w14:textId="7EEBFF96" w:rsidR="00973701" w:rsidRPr="00312A59" w:rsidRDefault="00973701" w:rsidP="00312A59">
            <w:pPr>
              <w:tabs>
                <w:tab w:val="left" w:pos="201"/>
              </w:tabs>
              <w:jc w:val="both"/>
              <w:rPr>
                <w:b/>
                <w:bCs/>
              </w:rPr>
            </w:pPr>
            <w:r w:rsidRPr="00312A59">
              <w:rPr>
                <w:b/>
                <w:bCs/>
              </w:rPr>
              <w:t>5.3.1. Măsuri normative necesare transpunerii directivelor UE</w:t>
            </w:r>
          </w:p>
          <w:p w14:paraId="7FC77FE7" w14:textId="2382ABC5" w:rsidR="00707145" w:rsidRDefault="00707145" w:rsidP="00312A59">
            <w:pPr>
              <w:tabs>
                <w:tab w:val="left" w:pos="201"/>
              </w:tabs>
              <w:jc w:val="both"/>
              <w:rPr>
                <w:color w:val="000000" w:themeColor="text1"/>
              </w:rPr>
            </w:pPr>
            <w:r w:rsidRPr="00312A59">
              <w:rPr>
                <w:color w:val="000000" w:themeColor="text1"/>
              </w:rPr>
              <w:t>Prezentul act normativ nu se referă la acest subiect.</w:t>
            </w:r>
          </w:p>
          <w:p w14:paraId="7EC81032" w14:textId="77777777" w:rsidR="009E2A76" w:rsidRPr="00312A59" w:rsidRDefault="009E2A76" w:rsidP="00312A59">
            <w:pPr>
              <w:tabs>
                <w:tab w:val="left" w:pos="201"/>
              </w:tabs>
              <w:jc w:val="both"/>
              <w:rPr>
                <w:color w:val="000000" w:themeColor="text1"/>
              </w:rPr>
            </w:pPr>
          </w:p>
          <w:p w14:paraId="4087DBF1" w14:textId="5318F6F9" w:rsidR="00973701" w:rsidRPr="00312A59" w:rsidRDefault="00674D58" w:rsidP="00312A59">
            <w:pPr>
              <w:tabs>
                <w:tab w:val="left" w:pos="201"/>
              </w:tabs>
              <w:jc w:val="both"/>
              <w:rPr>
                <w:b/>
                <w:bCs/>
              </w:rPr>
            </w:pPr>
            <w:r w:rsidRPr="00312A59">
              <w:rPr>
                <w:b/>
                <w:bCs/>
              </w:rPr>
              <w:t>5.3.2. Măsuri normative necesare aplicării actelor legislative UE</w:t>
            </w:r>
          </w:p>
          <w:p w14:paraId="305F07FF" w14:textId="77777777" w:rsidR="0046232C" w:rsidRDefault="0046232C" w:rsidP="00312A59">
            <w:pPr>
              <w:tabs>
                <w:tab w:val="left" w:pos="201"/>
              </w:tabs>
              <w:jc w:val="both"/>
              <w:rPr>
                <w:color w:val="000000" w:themeColor="text1"/>
              </w:rPr>
            </w:pPr>
            <w:r w:rsidRPr="00312A59">
              <w:rPr>
                <w:color w:val="000000" w:themeColor="text1"/>
              </w:rPr>
              <w:t>Prezentul act normativ nu se referă la acest subiect.</w:t>
            </w:r>
          </w:p>
          <w:p w14:paraId="2EBA6354" w14:textId="77777777" w:rsidR="009E2A76" w:rsidRPr="00312A59" w:rsidRDefault="009E2A76" w:rsidP="00312A59">
            <w:pPr>
              <w:tabs>
                <w:tab w:val="left" w:pos="201"/>
              </w:tabs>
              <w:jc w:val="both"/>
              <w:rPr>
                <w:color w:val="000000" w:themeColor="text1"/>
              </w:rPr>
            </w:pPr>
          </w:p>
          <w:p w14:paraId="175813EC" w14:textId="7FB5623E" w:rsidR="0046232C" w:rsidRPr="00312A59" w:rsidRDefault="00674D58" w:rsidP="00312A59">
            <w:pPr>
              <w:tabs>
                <w:tab w:val="left" w:pos="201"/>
              </w:tabs>
              <w:jc w:val="both"/>
              <w:rPr>
                <w:b/>
                <w:bCs/>
              </w:rPr>
            </w:pPr>
            <w:r w:rsidRPr="00312A59">
              <w:rPr>
                <w:b/>
                <w:bCs/>
              </w:rPr>
              <w:lastRenderedPageBreak/>
              <w:t>5.4. Hotărâri ale Cur</w:t>
            </w:r>
            <w:r w:rsidR="008E1D00" w:rsidRPr="00312A59">
              <w:rPr>
                <w:b/>
                <w:bCs/>
              </w:rPr>
              <w:t>ț</w:t>
            </w:r>
            <w:r w:rsidRPr="00312A59">
              <w:rPr>
                <w:b/>
                <w:bCs/>
              </w:rPr>
              <w:t>ii de Justi</w:t>
            </w:r>
            <w:r w:rsidR="008E1D00" w:rsidRPr="00312A59">
              <w:rPr>
                <w:b/>
                <w:bCs/>
              </w:rPr>
              <w:t>ț</w:t>
            </w:r>
            <w:r w:rsidRPr="00312A59">
              <w:rPr>
                <w:b/>
                <w:bCs/>
              </w:rPr>
              <w:t>ie a Uniunii Europene</w:t>
            </w:r>
            <w:r w:rsidR="002623AD" w:rsidRPr="00312A59">
              <w:rPr>
                <w:b/>
                <w:bCs/>
              </w:rPr>
              <w:t xml:space="preserve"> </w:t>
            </w:r>
          </w:p>
          <w:p w14:paraId="7E7D9A56" w14:textId="7D0AFB3C" w:rsidR="009E2A76" w:rsidRPr="00312A59" w:rsidRDefault="0046232C" w:rsidP="00312A59">
            <w:pPr>
              <w:tabs>
                <w:tab w:val="left" w:pos="201"/>
              </w:tabs>
              <w:jc w:val="both"/>
              <w:rPr>
                <w:color w:val="000000" w:themeColor="text1"/>
              </w:rPr>
            </w:pPr>
            <w:r w:rsidRPr="00312A59">
              <w:rPr>
                <w:color w:val="000000" w:themeColor="text1"/>
              </w:rPr>
              <w:t>Prezentul act normativ nu se referă la acest subiect.</w:t>
            </w:r>
          </w:p>
          <w:p w14:paraId="2CB7E45D" w14:textId="64959F11" w:rsidR="00A4162D" w:rsidRPr="00312A59" w:rsidRDefault="00674D58" w:rsidP="00312A59">
            <w:pPr>
              <w:tabs>
                <w:tab w:val="left" w:pos="201"/>
              </w:tabs>
              <w:jc w:val="both"/>
              <w:rPr>
                <w:b/>
                <w:bCs/>
              </w:rPr>
            </w:pPr>
            <w:r w:rsidRPr="00312A59">
              <w:rPr>
                <w:b/>
                <w:bCs/>
              </w:rPr>
              <w:t xml:space="preserve">5.5. Alte acte normative </w:t>
            </w:r>
            <w:r w:rsidR="008E1D00" w:rsidRPr="00312A59">
              <w:rPr>
                <w:b/>
                <w:bCs/>
              </w:rPr>
              <w:t>ș</w:t>
            </w:r>
            <w:r w:rsidRPr="00312A59">
              <w:rPr>
                <w:b/>
                <w:bCs/>
              </w:rPr>
              <w:t>i/sau documente interna</w:t>
            </w:r>
            <w:r w:rsidR="008E1D00" w:rsidRPr="00312A59">
              <w:rPr>
                <w:b/>
                <w:bCs/>
              </w:rPr>
              <w:t>ț</w:t>
            </w:r>
            <w:r w:rsidRPr="00312A59">
              <w:rPr>
                <w:b/>
                <w:bCs/>
              </w:rPr>
              <w:t>ionale din care decurg angajamente asumate</w:t>
            </w:r>
            <w:r w:rsidR="002623AD" w:rsidRPr="00312A59">
              <w:rPr>
                <w:b/>
                <w:bCs/>
              </w:rPr>
              <w:t xml:space="preserve"> </w:t>
            </w:r>
          </w:p>
          <w:p w14:paraId="247E77CC" w14:textId="2955286E" w:rsidR="009E2A76" w:rsidRPr="00312A59" w:rsidRDefault="00A4162D" w:rsidP="00312A59">
            <w:pPr>
              <w:tabs>
                <w:tab w:val="left" w:pos="201"/>
              </w:tabs>
              <w:jc w:val="both"/>
              <w:rPr>
                <w:color w:val="000000" w:themeColor="text1"/>
              </w:rPr>
            </w:pPr>
            <w:r w:rsidRPr="00312A59">
              <w:rPr>
                <w:color w:val="000000" w:themeColor="text1"/>
              </w:rPr>
              <w:t>Prezentul act normativ nu se referă la acest subiect.</w:t>
            </w:r>
          </w:p>
          <w:p w14:paraId="48B42044" w14:textId="77777777" w:rsidR="00973701" w:rsidRPr="00312A59" w:rsidRDefault="00674D58" w:rsidP="00312A59">
            <w:pPr>
              <w:tabs>
                <w:tab w:val="left" w:pos="201"/>
              </w:tabs>
              <w:jc w:val="both"/>
              <w:rPr>
                <w:b/>
                <w:bCs/>
              </w:rPr>
            </w:pPr>
            <w:r w:rsidRPr="00312A59">
              <w:rPr>
                <w:b/>
                <w:bCs/>
              </w:rPr>
              <w:t>5.6. Alte informații</w:t>
            </w:r>
          </w:p>
          <w:p w14:paraId="7C430706" w14:textId="4146A0BA" w:rsidR="00AE7473" w:rsidRPr="00312A59" w:rsidRDefault="00AE7473" w:rsidP="00312A59">
            <w:pPr>
              <w:tabs>
                <w:tab w:val="left" w:pos="201"/>
              </w:tabs>
              <w:jc w:val="both"/>
            </w:pPr>
            <w:r w:rsidRPr="00312A59">
              <w:t>Nu au fost identificate.</w:t>
            </w:r>
          </w:p>
        </w:tc>
      </w:tr>
    </w:tbl>
    <w:p w14:paraId="503301D2" w14:textId="77777777" w:rsidR="00D270B3" w:rsidRDefault="00D270B3" w:rsidP="00FA77BD">
      <w:pPr>
        <w:rPr>
          <w:b/>
        </w:rPr>
      </w:pPr>
    </w:p>
    <w:p w14:paraId="6F04DAD9" w14:textId="093BA4EE" w:rsidR="00BB0782" w:rsidRPr="00312A59" w:rsidRDefault="00BB0782" w:rsidP="00CF0AD2">
      <w:pPr>
        <w:ind w:firstLine="720"/>
        <w:rPr>
          <w:b/>
        </w:rPr>
      </w:pPr>
      <w:r w:rsidRPr="00312A59">
        <w:rPr>
          <w:b/>
        </w:rPr>
        <w:t>Secțiunea a 6-a</w:t>
      </w:r>
    </w:p>
    <w:p w14:paraId="7AC4729A" w14:textId="791E9F4B" w:rsidR="009E2A76" w:rsidRPr="00312A59" w:rsidRDefault="00670C79" w:rsidP="00E71AF3">
      <w:pPr>
        <w:ind w:firstLine="720"/>
        <w:rPr>
          <w:b/>
        </w:rPr>
      </w:pPr>
      <w:r w:rsidRPr="00312A59">
        <w:rPr>
          <w:b/>
        </w:rPr>
        <w:t>Consultările efectuate în vederea elaborării proiectului de act normativ</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3"/>
      </w:tblGrid>
      <w:tr w:rsidR="00770E01" w:rsidRPr="00312A59" w14:paraId="5EB7CDBC" w14:textId="77777777" w:rsidTr="005144FA">
        <w:tc>
          <w:tcPr>
            <w:tcW w:w="10533" w:type="dxa"/>
          </w:tcPr>
          <w:p w14:paraId="598B642C" w14:textId="50A84CE9" w:rsidR="00770E01" w:rsidRPr="00312A59" w:rsidRDefault="00770E01" w:rsidP="00312A59">
            <w:pPr>
              <w:jc w:val="both"/>
              <w:rPr>
                <w:b/>
                <w:bCs/>
              </w:rPr>
            </w:pPr>
            <w:r w:rsidRPr="00312A59">
              <w:rPr>
                <w:b/>
                <w:bCs/>
              </w:rPr>
              <w:t>6.1. Informații privind neaplicarea procedurii de participare la elaborarea actelor normative</w:t>
            </w:r>
          </w:p>
          <w:p w14:paraId="0B61431A" w14:textId="55CDA6D6" w:rsidR="00770E01" w:rsidRPr="00312A59" w:rsidRDefault="00770E01" w:rsidP="00312A59">
            <w:pPr>
              <w:jc w:val="both"/>
              <w:rPr>
                <w:b/>
                <w:bCs/>
              </w:rPr>
            </w:pPr>
            <w:r w:rsidRPr="00312A59">
              <w:rPr>
                <w:b/>
                <w:bCs/>
              </w:rPr>
              <w:t>6.2. Informa</w:t>
            </w:r>
            <w:r w:rsidR="008E1D00" w:rsidRPr="00312A59">
              <w:rPr>
                <w:b/>
                <w:bCs/>
              </w:rPr>
              <w:t>ț</w:t>
            </w:r>
            <w:r w:rsidRPr="00312A59">
              <w:rPr>
                <w:b/>
                <w:bCs/>
              </w:rPr>
              <w:t>ii privind procesul de consultare cu organiza</w:t>
            </w:r>
            <w:r w:rsidR="008E1D00" w:rsidRPr="00312A59">
              <w:rPr>
                <w:b/>
                <w:bCs/>
              </w:rPr>
              <w:t>ț</w:t>
            </w:r>
            <w:r w:rsidRPr="00312A59">
              <w:rPr>
                <w:b/>
                <w:bCs/>
              </w:rPr>
              <w:t xml:space="preserve">ii neguvernamentale, institute de cercetare </w:t>
            </w:r>
            <w:r w:rsidR="008E1D00" w:rsidRPr="00312A59">
              <w:rPr>
                <w:b/>
                <w:bCs/>
              </w:rPr>
              <w:t>ș</w:t>
            </w:r>
            <w:r w:rsidRPr="00312A59">
              <w:rPr>
                <w:b/>
                <w:bCs/>
              </w:rPr>
              <w:t>i alte organisme implicate</w:t>
            </w:r>
          </w:p>
          <w:p w14:paraId="2ADA1DAA" w14:textId="77777777" w:rsidR="00435A81" w:rsidRPr="00312A59" w:rsidRDefault="00435A81" w:rsidP="00312A59">
            <w:pPr>
              <w:jc w:val="both"/>
              <w:rPr>
                <w:b/>
                <w:bCs/>
              </w:rPr>
            </w:pPr>
            <w:r w:rsidRPr="00312A59">
              <w:t>Prezentul act normativ nu se referă la acest subiect</w:t>
            </w:r>
            <w:r w:rsidRPr="00312A59">
              <w:rPr>
                <w:b/>
                <w:bCs/>
              </w:rPr>
              <w:t xml:space="preserve"> </w:t>
            </w:r>
          </w:p>
          <w:p w14:paraId="2BABECC5" w14:textId="4EDDB79F" w:rsidR="00926ABC" w:rsidRPr="00312A59" w:rsidRDefault="00770E01" w:rsidP="00312A59">
            <w:pPr>
              <w:jc w:val="both"/>
              <w:rPr>
                <w:b/>
                <w:bCs/>
              </w:rPr>
            </w:pPr>
            <w:r w:rsidRPr="00312A59">
              <w:rPr>
                <w:b/>
                <w:bCs/>
              </w:rPr>
              <w:t>6.3. Informații despre consultările organizate cu autoritățile administrației publice locale</w:t>
            </w:r>
          </w:p>
          <w:p w14:paraId="0970A043" w14:textId="77777777" w:rsidR="0004511E" w:rsidRPr="00312A59" w:rsidRDefault="0004511E" w:rsidP="00312A59">
            <w:pPr>
              <w:jc w:val="both"/>
            </w:pPr>
            <w:r w:rsidRPr="00312A59">
              <w:t>Prezentul act normativ nu se referă la acest subiect.</w:t>
            </w:r>
          </w:p>
          <w:p w14:paraId="53F02791" w14:textId="3E5E442B" w:rsidR="00770E01" w:rsidRPr="00312A59" w:rsidRDefault="00770E01" w:rsidP="00312A59">
            <w:pPr>
              <w:jc w:val="both"/>
              <w:rPr>
                <w:b/>
                <w:bCs/>
              </w:rPr>
            </w:pPr>
            <w:r w:rsidRPr="00312A59">
              <w:rPr>
                <w:b/>
                <w:bCs/>
              </w:rPr>
              <w:t>6.4. Informații privind puncte de vedere/opinii emise de organisme consul</w:t>
            </w:r>
            <w:r w:rsidR="00842C68" w:rsidRPr="00312A59">
              <w:rPr>
                <w:b/>
                <w:bCs/>
              </w:rPr>
              <w:t>t</w:t>
            </w:r>
            <w:r w:rsidRPr="00312A59">
              <w:rPr>
                <w:b/>
                <w:bCs/>
              </w:rPr>
              <w:t>ative constituite prin acte normative</w:t>
            </w:r>
          </w:p>
          <w:p w14:paraId="0FF572CC" w14:textId="3F3A66CE" w:rsidR="00770E01" w:rsidRPr="00312A59" w:rsidRDefault="00770E01" w:rsidP="00312A59">
            <w:pPr>
              <w:jc w:val="both"/>
              <w:rPr>
                <w:b/>
                <w:bCs/>
              </w:rPr>
            </w:pPr>
            <w:r w:rsidRPr="00312A59">
              <w:rPr>
                <w:b/>
                <w:bCs/>
              </w:rPr>
              <w:t>6.5</w:t>
            </w:r>
            <w:r w:rsidR="004555DD" w:rsidRPr="00312A59">
              <w:rPr>
                <w:b/>
                <w:bCs/>
              </w:rPr>
              <w:t>.</w:t>
            </w:r>
            <w:r w:rsidRPr="00312A59">
              <w:rPr>
                <w:b/>
                <w:bCs/>
              </w:rPr>
              <w:t xml:space="preserve"> Informații privind avizarea de către:</w:t>
            </w:r>
          </w:p>
          <w:p w14:paraId="3DD2ED4C" w14:textId="434A7742" w:rsidR="00770E01" w:rsidRPr="00312A59" w:rsidRDefault="00770E01" w:rsidP="00312A59">
            <w:pPr>
              <w:jc w:val="both"/>
              <w:rPr>
                <w:b/>
                <w:bCs/>
              </w:rPr>
            </w:pPr>
            <w:r w:rsidRPr="00312A59">
              <w:rPr>
                <w:b/>
                <w:bCs/>
              </w:rPr>
              <w:t xml:space="preserve">a) Consiliul </w:t>
            </w:r>
            <w:r w:rsidR="008F6907" w:rsidRPr="00312A59">
              <w:rPr>
                <w:b/>
                <w:bCs/>
              </w:rPr>
              <w:t>L</w:t>
            </w:r>
            <w:r w:rsidRPr="00312A59">
              <w:rPr>
                <w:b/>
                <w:bCs/>
              </w:rPr>
              <w:t>egislativ</w:t>
            </w:r>
          </w:p>
          <w:p w14:paraId="5FE65553" w14:textId="3BB31D39" w:rsidR="00770E01" w:rsidRPr="00312A59" w:rsidRDefault="00770E01" w:rsidP="00312A59">
            <w:pPr>
              <w:jc w:val="both"/>
            </w:pPr>
            <w:r w:rsidRPr="00312A59">
              <w:t>b)</w:t>
            </w:r>
            <w:r w:rsidR="00456611" w:rsidRPr="00312A59">
              <w:t xml:space="preserve"> </w:t>
            </w:r>
            <w:r w:rsidRPr="00312A59">
              <w:t xml:space="preserve">Consiliul Suprem de Apărare a </w:t>
            </w:r>
            <w:r w:rsidR="008E1D00" w:rsidRPr="00312A59">
              <w:t>Ț</w:t>
            </w:r>
            <w:r w:rsidRPr="00312A59">
              <w:t>ării</w:t>
            </w:r>
          </w:p>
          <w:p w14:paraId="22642D64" w14:textId="78A48A8F" w:rsidR="00770E01" w:rsidRPr="00312A59" w:rsidRDefault="00770E01" w:rsidP="00312A59">
            <w:pPr>
              <w:jc w:val="both"/>
            </w:pPr>
            <w:r w:rsidRPr="00312A59">
              <w:t>c)</w:t>
            </w:r>
            <w:r w:rsidR="00456611" w:rsidRPr="00312A59">
              <w:t xml:space="preserve"> </w:t>
            </w:r>
            <w:r w:rsidRPr="00312A59">
              <w:t xml:space="preserve">Consiliul Economic </w:t>
            </w:r>
            <w:r w:rsidR="008E1D00" w:rsidRPr="00312A59">
              <w:t>ș</w:t>
            </w:r>
            <w:r w:rsidRPr="00312A59">
              <w:t>i Social</w:t>
            </w:r>
          </w:p>
          <w:p w14:paraId="782E1FCE" w14:textId="289AFE3B" w:rsidR="00770E01" w:rsidRPr="00312A59" w:rsidRDefault="00770E01" w:rsidP="00312A59">
            <w:pPr>
              <w:jc w:val="both"/>
            </w:pPr>
            <w:r w:rsidRPr="00312A59">
              <w:t>d)</w:t>
            </w:r>
            <w:r w:rsidR="00456611" w:rsidRPr="00312A59">
              <w:t xml:space="preserve"> </w:t>
            </w:r>
            <w:r w:rsidRPr="00312A59">
              <w:t>Consiliul Concuren</w:t>
            </w:r>
            <w:r w:rsidR="008E1D00" w:rsidRPr="00312A59">
              <w:t>ț</w:t>
            </w:r>
            <w:r w:rsidRPr="00312A59">
              <w:t xml:space="preserve">ei </w:t>
            </w:r>
          </w:p>
          <w:p w14:paraId="365D57A1" w14:textId="77777777" w:rsidR="00312A59" w:rsidRPr="00312A59" w:rsidRDefault="00770E01" w:rsidP="00312A59">
            <w:pPr>
              <w:jc w:val="both"/>
            </w:pPr>
            <w:r w:rsidRPr="00312A59">
              <w:t>e)</w:t>
            </w:r>
            <w:r w:rsidR="00456611" w:rsidRPr="00312A59">
              <w:t xml:space="preserve"> </w:t>
            </w:r>
            <w:r w:rsidRPr="00312A59">
              <w:t>Curtea de Conturi</w:t>
            </w:r>
            <w:r w:rsidR="00312A59" w:rsidRPr="00312A59">
              <w:t>.</w:t>
            </w:r>
          </w:p>
          <w:p w14:paraId="7E62C2BF" w14:textId="4861E0FC" w:rsidR="00770E01" w:rsidRPr="00312A59" w:rsidRDefault="00AF7417" w:rsidP="00312A59">
            <w:pPr>
              <w:jc w:val="both"/>
            </w:pPr>
            <w:r w:rsidRPr="00312A59">
              <w:t>S-a solicitat aviz</w:t>
            </w:r>
            <w:r w:rsidR="003731AA">
              <w:t>ul</w:t>
            </w:r>
            <w:r w:rsidRPr="00312A59">
              <w:t xml:space="preserve"> Consiliului Legislativ</w:t>
            </w:r>
            <w:r w:rsidR="003731AA">
              <w:t>.</w:t>
            </w:r>
            <w:r w:rsidRPr="00312A59">
              <w:t xml:space="preserve"> </w:t>
            </w:r>
          </w:p>
          <w:p w14:paraId="0D5921FD" w14:textId="77777777" w:rsidR="00770E01" w:rsidRPr="00312A59" w:rsidRDefault="00770E01" w:rsidP="00312A59">
            <w:pPr>
              <w:jc w:val="both"/>
              <w:rPr>
                <w:b/>
                <w:bCs/>
              </w:rPr>
            </w:pPr>
            <w:r w:rsidRPr="00312A59">
              <w:rPr>
                <w:b/>
                <w:bCs/>
              </w:rPr>
              <w:t>6.6. Alte informații</w:t>
            </w:r>
          </w:p>
          <w:p w14:paraId="32E03757" w14:textId="50166F9E" w:rsidR="00856FA3" w:rsidRPr="00312A59" w:rsidRDefault="00F7449F" w:rsidP="00312A59">
            <w:pPr>
              <w:jc w:val="both"/>
              <w:rPr>
                <w:b/>
                <w:bCs/>
              </w:rPr>
            </w:pPr>
            <w:r>
              <w:t xml:space="preserve">A fost solicitat punctul de vedere de la Autoritatea de Audit </w:t>
            </w:r>
            <w:r w:rsidR="00714BF0">
              <w:t>din cadrul Curții de Conturi.</w:t>
            </w:r>
            <w:r>
              <w:t xml:space="preserve"> </w:t>
            </w:r>
          </w:p>
        </w:tc>
      </w:tr>
    </w:tbl>
    <w:p w14:paraId="51DE90BF" w14:textId="77777777" w:rsidR="009E2A76" w:rsidRDefault="009E2A76" w:rsidP="00922B92">
      <w:pPr>
        <w:pStyle w:val="BodyTextIndent2"/>
        <w:spacing w:before="0" w:after="0" w:line="240" w:lineRule="auto"/>
        <w:ind w:right="98" w:firstLine="0"/>
        <w:jc w:val="both"/>
        <w:rPr>
          <w:bCs w:val="0"/>
          <w:sz w:val="24"/>
        </w:rPr>
      </w:pPr>
    </w:p>
    <w:p w14:paraId="311858C9" w14:textId="141CAAFD" w:rsidR="00770E01" w:rsidRPr="00312A59" w:rsidRDefault="00670C79" w:rsidP="00CF0AD2">
      <w:pPr>
        <w:pStyle w:val="BodyTextIndent2"/>
        <w:spacing w:before="0" w:after="0" w:line="240" w:lineRule="auto"/>
        <w:ind w:right="98" w:firstLine="720"/>
        <w:jc w:val="both"/>
        <w:rPr>
          <w:bCs w:val="0"/>
          <w:sz w:val="24"/>
        </w:rPr>
      </w:pPr>
      <w:r w:rsidRPr="00312A59">
        <w:rPr>
          <w:bCs w:val="0"/>
          <w:sz w:val="24"/>
        </w:rPr>
        <w:t>Sec</w:t>
      </w:r>
      <w:r w:rsidR="008E1D00" w:rsidRPr="00312A59">
        <w:rPr>
          <w:bCs w:val="0"/>
          <w:sz w:val="24"/>
        </w:rPr>
        <w:t>ț</w:t>
      </w:r>
      <w:r w:rsidRPr="00312A59">
        <w:rPr>
          <w:bCs w:val="0"/>
          <w:sz w:val="24"/>
        </w:rPr>
        <w:t xml:space="preserve">iunea a 7-a  </w:t>
      </w:r>
    </w:p>
    <w:p w14:paraId="2F332EE6" w14:textId="0A4AF827" w:rsidR="009E2A76" w:rsidRPr="00312A59" w:rsidRDefault="00CF0AD2" w:rsidP="00CF0AD2">
      <w:pPr>
        <w:pStyle w:val="BodyTextIndent2"/>
        <w:spacing w:before="0" w:after="0" w:line="240" w:lineRule="auto"/>
        <w:ind w:right="98" w:firstLine="0"/>
        <w:jc w:val="both"/>
        <w:rPr>
          <w:bCs w:val="0"/>
          <w:sz w:val="24"/>
        </w:rPr>
      </w:pPr>
      <w:r>
        <w:rPr>
          <w:bCs w:val="0"/>
          <w:sz w:val="24"/>
        </w:rPr>
        <w:t xml:space="preserve">   </w:t>
      </w:r>
      <w:r>
        <w:rPr>
          <w:bCs w:val="0"/>
          <w:sz w:val="24"/>
        </w:rPr>
        <w:tab/>
      </w:r>
      <w:r w:rsidR="00670C79" w:rsidRPr="00312A59">
        <w:rPr>
          <w:bCs w:val="0"/>
          <w:sz w:val="24"/>
        </w:rPr>
        <w:t>Activită</w:t>
      </w:r>
      <w:r w:rsidR="008E1D00" w:rsidRPr="00312A59">
        <w:rPr>
          <w:bCs w:val="0"/>
          <w:sz w:val="24"/>
        </w:rPr>
        <w:t>ț</w:t>
      </w:r>
      <w:r w:rsidR="00670C79" w:rsidRPr="00312A59">
        <w:rPr>
          <w:bCs w:val="0"/>
          <w:sz w:val="24"/>
        </w:rPr>
        <w:t xml:space="preserve">i de informare publică privind elaborarea şi implementarea </w:t>
      </w:r>
      <w:bookmarkStart w:id="1" w:name="_Hlk100229941"/>
      <w:r w:rsidR="00670C79" w:rsidRPr="00312A59">
        <w:rPr>
          <w:bCs w:val="0"/>
          <w:sz w:val="24"/>
        </w:rPr>
        <w:t>proiectului de act normativ</w:t>
      </w:r>
      <w:bookmarkEnd w:id="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3"/>
      </w:tblGrid>
      <w:tr w:rsidR="00770E01" w:rsidRPr="00312A59" w14:paraId="416004E3" w14:textId="77777777" w:rsidTr="005144FA">
        <w:tc>
          <w:tcPr>
            <w:tcW w:w="10533" w:type="dxa"/>
          </w:tcPr>
          <w:p w14:paraId="29554504" w14:textId="663D535A" w:rsidR="00770E01" w:rsidRPr="00312A59" w:rsidRDefault="00770E01" w:rsidP="00312A59">
            <w:pPr>
              <w:jc w:val="both"/>
              <w:rPr>
                <w:b/>
                <w:bCs/>
              </w:rPr>
            </w:pPr>
            <w:r w:rsidRPr="00312A59">
              <w:rPr>
                <w:b/>
                <w:bCs/>
              </w:rPr>
              <w:t xml:space="preserve">7.1. </w:t>
            </w:r>
            <w:r w:rsidR="0053566B" w:rsidRPr="00312A59">
              <w:rPr>
                <w:b/>
                <w:bCs/>
              </w:rPr>
              <w:t>Informarea societă</w:t>
            </w:r>
            <w:r w:rsidR="008E1D00" w:rsidRPr="00312A59">
              <w:rPr>
                <w:b/>
                <w:bCs/>
              </w:rPr>
              <w:t>ț</w:t>
            </w:r>
            <w:r w:rsidR="0053566B" w:rsidRPr="00312A59">
              <w:rPr>
                <w:b/>
                <w:bCs/>
              </w:rPr>
              <w:t>ii civile cu privire la elaborarea proiectului de act normativ</w:t>
            </w:r>
          </w:p>
          <w:p w14:paraId="36234926" w14:textId="27BBBCA2" w:rsidR="00660C72" w:rsidRPr="0006476E" w:rsidRDefault="00DD6D7E" w:rsidP="00312A59">
            <w:pPr>
              <w:jc w:val="both"/>
            </w:pPr>
            <w:r w:rsidRPr="00722D80">
              <w:t xml:space="preserve">Proiectul de act normativ </w:t>
            </w:r>
            <w:r w:rsidRPr="008912AB">
              <w:t>a fost afișat pe site-ul Ministerului Investi</w:t>
            </w:r>
            <w:r w:rsidR="008E1D00" w:rsidRPr="008912AB">
              <w:t>ț</w:t>
            </w:r>
            <w:r w:rsidRPr="008912AB">
              <w:t xml:space="preserve">iilor </w:t>
            </w:r>
            <w:r w:rsidR="00343CF8" w:rsidRPr="008912AB">
              <w:t>ș</w:t>
            </w:r>
            <w:r w:rsidRPr="008912AB">
              <w:t xml:space="preserve">i Proiectelor Europene </w:t>
            </w:r>
            <w:r w:rsidR="008912AB" w:rsidRPr="008912AB">
              <w:t>în data de 1</w:t>
            </w:r>
            <w:r w:rsidR="001C0F8C">
              <w:t>8</w:t>
            </w:r>
            <w:r w:rsidR="008912AB" w:rsidRPr="008912AB">
              <w:t xml:space="preserve"> iunie 2026</w:t>
            </w:r>
            <w:r w:rsidR="008912AB">
              <w:t>,</w:t>
            </w:r>
            <w:r w:rsidR="00A13531" w:rsidRPr="008912AB">
              <w:t xml:space="preserve"> </w:t>
            </w:r>
            <w:r w:rsidR="0063661B" w:rsidRPr="00722D80">
              <w:t xml:space="preserve">la elaborarea acestuia </w:t>
            </w:r>
            <w:r w:rsidR="0063661B" w:rsidRPr="00343CF8">
              <w:t xml:space="preserve">fiind îndeplinită procedura stabilită </w:t>
            </w:r>
            <w:r w:rsidR="003C2E9C" w:rsidRPr="00343CF8">
              <w:t>la art.</w:t>
            </w:r>
            <w:r w:rsidR="009E2A76" w:rsidRPr="00343CF8">
              <w:t xml:space="preserve"> </w:t>
            </w:r>
            <w:r w:rsidR="003C2E9C" w:rsidRPr="00343CF8">
              <w:t>7 alin.</w:t>
            </w:r>
            <w:r w:rsidR="009E2A76" w:rsidRPr="00343CF8">
              <w:t xml:space="preserve"> </w:t>
            </w:r>
            <w:r w:rsidR="003C2E9C" w:rsidRPr="00343CF8">
              <w:t>(</w:t>
            </w:r>
            <w:r w:rsidR="00447F60" w:rsidRPr="00343CF8">
              <w:t>13</w:t>
            </w:r>
            <w:r w:rsidR="003C2E9C" w:rsidRPr="00343CF8">
              <w:t>) din</w:t>
            </w:r>
            <w:r w:rsidR="0063661B" w:rsidRPr="00343CF8">
              <w:t xml:space="preserve"> </w:t>
            </w:r>
            <w:r w:rsidR="003C2E9C" w:rsidRPr="00343CF8">
              <w:t>Legea</w:t>
            </w:r>
            <w:r w:rsidR="0063661B" w:rsidRPr="00343CF8">
              <w:t xml:space="preserve"> nr. 52/2003 privind transparența decizională în administrația publică, republicată, cu modificările și completările ulterioare</w:t>
            </w:r>
            <w:r w:rsidR="00136C6D" w:rsidRPr="00343CF8">
              <w:t>, având în vedere urgența în ceea ce privește</w:t>
            </w:r>
            <w:r w:rsidR="00343CF8" w:rsidRPr="00343CF8">
              <w:t xml:space="preserve"> asigurarea cadrului instituțional indisponibil operaționalizării programelor finanțate și respectării obligațiilor asumate de România, respectiv demararea imediată a activităților pentru implementarea programelor finanțate în perioada 2021-2028.</w:t>
            </w:r>
          </w:p>
          <w:p w14:paraId="01F30A42" w14:textId="1B45818A" w:rsidR="00660C72" w:rsidRDefault="00883FA8" w:rsidP="00312A59">
            <w:pPr>
              <w:jc w:val="both"/>
              <w:rPr>
                <w:b/>
              </w:rPr>
            </w:pPr>
            <w:r w:rsidRPr="00883FA8">
              <w:rPr>
                <w:b/>
              </w:rPr>
              <w:t xml:space="preserve">7.2.Informarea societăţii civile cu privire la eventualul impact  asupra mediului în urma implementării proiectului de act normativ, precum şi efectele asupra sănătăţii şi securităţii cetăţenilor sau diversităţii biologice       </w:t>
            </w:r>
          </w:p>
          <w:p w14:paraId="67EC0521" w14:textId="782C6648" w:rsidR="00CF0AD2" w:rsidRPr="00BC6922" w:rsidRDefault="00883FA8" w:rsidP="00312A59">
            <w:pPr>
              <w:jc w:val="both"/>
              <w:rPr>
                <w:bCs/>
              </w:rPr>
            </w:pPr>
            <w:r w:rsidRPr="00722D80">
              <w:rPr>
                <w:bCs/>
              </w:rPr>
              <w:t>Prezentul act normativ nu se referă la acest subiect.</w:t>
            </w:r>
          </w:p>
          <w:p w14:paraId="08B3B8E2" w14:textId="77777777" w:rsidR="008F6907" w:rsidRPr="00312A59" w:rsidRDefault="008F6907" w:rsidP="00312A59">
            <w:pPr>
              <w:jc w:val="both"/>
              <w:rPr>
                <w:b/>
                <w:bCs/>
              </w:rPr>
            </w:pPr>
            <w:r w:rsidRPr="00312A59">
              <w:rPr>
                <w:b/>
                <w:bCs/>
              </w:rPr>
              <w:t>7.3. Alte informații</w:t>
            </w:r>
          </w:p>
          <w:p w14:paraId="6A2C5259" w14:textId="55DD1177" w:rsidR="0097156C" w:rsidRPr="00312A59" w:rsidRDefault="0097156C" w:rsidP="00312A59">
            <w:pPr>
              <w:jc w:val="both"/>
              <w:rPr>
                <w:b/>
                <w:bCs/>
              </w:rPr>
            </w:pPr>
            <w:r w:rsidRPr="00312A59">
              <w:t>Nu au fost identificate.</w:t>
            </w:r>
          </w:p>
        </w:tc>
      </w:tr>
    </w:tbl>
    <w:p w14:paraId="5788C2D9" w14:textId="77777777" w:rsidR="009E2A76" w:rsidRDefault="009E2A76" w:rsidP="00073804">
      <w:pPr>
        <w:rPr>
          <w:b/>
        </w:rPr>
      </w:pPr>
    </w:p>
    <w:p w14:paraId="341152AF" w14:textId="5818C771" w:rsidR="0053566B" w:rsidRPr="00312A59" w:rsidRDefault="00670C79" w:rsidP="00312A59">
      <w:pPr>
        <w:ind w:left="180" w:firstLine="540"/>
        <w:rPr>
          <w:b/>
        </w:rPr>
      </w:pPr>
      <w:r w:rsidRPr="00312A59">
        <w:rPr>
          <w:b/>
        </w:rPr>
        <w:t>Sec</w:t>
      </w:r>
      <w:r w:rsidR="00E67733" w:rsidRPr="00312A59">
        <w:rPr>
          <w:b/>
        </w:rPr>
        <w:t>ț</w:t>
      </w:r>
      <w:r w:rsidRPr="00312A59">
        <w:rPr>
          <w:b/>
        </w:rPr>
        <w:t>iunea a 8- a</w:t>
      </w:r>
      <w:r w:rsidR="002E20A6" w:rsidRPr="00312A59">
        <w:rPr>
          <w:b/>
        </w:rPr>
        <w:t xml:space="preserve"> </w:t>
      </w:r>
      <w:r w:rsidRPr="00312A59">
        <w:rPr>
          <w:b/>
        </w:rPr>
        <w:t xml:space="preserve"> </w:t>
      </w:r>
    </w:p>
    <w:p w14:paraId="78181158" w14:textId="4EB5E092" w:rsidR="002C2D81" w:rsidRDefault="00670C79" w:rsidP="00312A59">
      <w:pPr>
        <w:ind w:left="180" w:firstLine="540"/>
        <w:rPr>
          <w:b/>
        </w:rPr>
      </w:pPr>
      <w:r w:rsidRPr="00312A59">
        <w:rPr>
          <w:b/>
        </w:rPr>
        <w:t xml:space="preserve">Măsuri </w:t>
      </w:r>
      <w:r w:rsidR="0053566B" w:rsidRPr="00312A59">
        <w:rPr>
          <w:b/>
        </w:rPr>
        <w:t>privind</w:t>
      </w:r>
      <w:r w:rsidRPr="00312A59">
        <w:rPr>
          <w:b/>
        </w:rPr>
        <w:t xml:space="preserve"> implementare</w:t>
      </w:r>
      <w:r w:rsidR="0053566B" w:rsidRPr="00312A59">
        <w:rPr>
          <w:b/>
        </w:rPr>
        <w:t>a, monitorizarea și evaluarea proiectului de act normativ</w:t>
      </w:r>
    </w:p>
    <w:p w14:paraId="72E3C9A0" w14:textId="77777777" w:rsidR="009E2A76" w:rsidRPr="00312A59" w:rsidRDefault="009E2A76" w:rsidP="00312A59">
      <w:pPr>
        <w:ind w:left="180" w:firstLine="540"/>
        <w:rPr>
          <w:b/>
        </w:rPr>
      </w:pPr>
    </w:p>
    <w:tbl>
      <w:tblPr>
        <w:tblW w:w="10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3"/>
      </w:tblGrid>
      <w:tr w:rsidR="0053566B" w:rsidRPr="00312A59" w14:paraId="554BFAFC" w14:textId="77777777" w:rsidTr="005144FA">
        <w:tc>
          <w:tcPr>
            <w:tcW w:w="10553" w:type="dxa"/>
          </w:tcPr>
          <w:p w14:paraId="560280B7" w14:textId="452BF905" w:rsidR="0053566B" w:rsidRPr="00312A59" w:rsidRDefault="0053566B" w:rsidP="00312A59">
            <w:pPr>
              <w:pStyle w:val="Heading1"/>
              <w:spacing w:line="240" w:lineRule="auto"/>
              <w:jc w:val="both"/>
              <w:rPr>
                <w:b/>
                <w:bCs/>
                <w:sz w:val="24"/>
              </w:rPr>
            </w:pPr>
            <w:r w:rsidRPr="00312A59">
              <w:rPr>
                <w:b/>
                <w:bCs/>
                <w:sz w:val="24"/>
              </w:rPr>
              <w:t>8.1. Măsuri de punere în aplicare a proiectului de act normativ</w:t>
            </w:r>
          </w:p>
          <w:p w14:paraId="173BA10C" w14:textId="39D8DFA4" w:rsidR="00F422FE" w:rsidRDefault="00F422FE" w:rsidP="00312A59">
            <w:pPr>
              <w:jc w:val="both"/>
            </w:pPr>
            <w:r w:rsidRPr="00312A59">
              <w:t>Actul normativ nu se referă la acest subiect.</w:t>
            </w:r>
          </w:p>
          <w:p w14:paraId="1820F422" w14:textId="451F5100" w:rsidR="0053566B" w:rsidRPr="00312A59" w:rsidRDefault="0053566B" w:rsidP="00312A59">
            <w:pPr>
              <w:rPr>
                <w:b/>
                <w:bCs/>
              </w:rPr>
            </w:pPr>
            <w:r w:rsidRPr="00312A59">
              <w:rPr>
                <w:b/>
                <w:bCs/>
              </w:rPr>
              <w:t>8.2. Alte informa</w:t>
            </w:r>
            <w:r w:rsidR="00E67733" w:rsidRPr="00312A59">
              <w:rPr>
                <w:b/>
                <w:bCs/>
              </w:rPr>
              <w:t>ț</w:t>
            </w:r>
            <w:r w:rsidRPr="00312A59">
              <w:rPr>
                <w:b/>
                <w:bCs/>
              </w:rPr>
              <w:t>ii</w:t>
            </w:r>
          </w:p>
          <w:p w14:paraId="3837F202" w14:textId="43428D33" w:rsidR="00F422FE" w:rsidRPr="00312A59" w:rsidRDefault="00F422FE" w:rsidP="00312A59">
            <w:r w:rsidRPr="00312A59">
              <w:t>Nu au fost identificate.</w:t>
            </w:r>
          </w:p>
        </w:tc>
      </w:tr>
    </w:tbl>
    <w:p w14:paraId="6E8A3441" w14:textId="77777777" w:rsidR="00D55318" w:rsidRDefault="00D55318" w:rsidP="00677684">
      <w:pPr>
        <w:spacing w:line="360" w:lineRule="auto"/>
        <w:ind w:right="-94"/>
        <w:jc w:val="both"/>
      </w:pPr>
    </w:p>
    <w:p w14:paraId="6ED26321" w14:textId="77777777" w:rsidR="00D270B3" w:rsidRDefault="00D270B3" w:rsidP="00C83E7D">
      <w:pPr>
        <w:spacing w:line="276" w:lineRule="auto"/>
        <w:ind w:right="-94"/>
        <w:jc w:val="both"/>
      </w:pPr>
    </w:p>
    <w:p w14:paraId="4C75BDDD" w14:textId="77777777" w:rsidR="00D270B3" w:rsidRDefault="00D270B3" w:rsidP="00C83E7D">
      <w:pPr>
        <w:spacing w:line="276" w:lineRule="auto"/>
        <w:ind w:right="-94"/>
        <w:jc w:val="both"/>
      </w:pPr>
    </w:p>
    <w:p w14:paraId="34058B0E" w14:textId="77777777" w:rsidR="009E2A76" w:rsidRDefault="009E2A76" w:rsidP="00C83E7D">
      <w:pPr>
        <w:spacing w:line="276" w:lineRule="auto"/>
        <w:ind w:right="-94"/>
        <w:jc w:val="both"/>
      </w:pPr>
    </w:p>
    <w:p w14:paraId="23490EDB" w14:textId="0A2B23B5" w:rsidR="006F3F80" w:rsidRPr="00312A59" w:rsidRDefault="006F3F80" w:rsidP="00C83E7D">
      <w:pPr>
        <w:spacing w:line="276" w:lineRule="auto"/>
        <w:ind w:right="-94"/>
        <w:jc w:val="both"/>
        <w:rPr>
          <w:rFonts w:eastAsia="Calibri"/>
          <w:lang w:eastAsia="ro-RO"/>
        </w:rPr>
      </w:pPr>
      <w:r w:rsidRPr="00312A59">
        <w:t>Fa</w:t>
      </w:r>
      <w:r w:rsidR="00E67733" w:rsidRPr="00312A59">
        <w:t>ț</w:t>
      </w:r>
      <w:r w:rsidRPr="00312A59">
        <w:t xml:space="preserve">ă de cele prezentate, a fost elaborat prezentul proiect de </w:t>
      </w:r>
      <w:r w:rsidRPr="00312A59">
        <w:rPr>
          <w:b/>
        </w:rPr>
        <w:t xml:space="preserve">Hotărâre </w:t>
      </w:r>
      <w:r w:rsidR="001C3DB4" w:rsidRPr="00312A59">
        <w:rPr>
          <w:b/>
        </w:rPr>
        <w:t xml:space="preserve">a Guvernului pentru </w:t>
      </w:r>
      <w:r w:rsidR="004E504C" w:rsidRPr="004E504C">
        <w:rPr>
          <w:b/>
        </w:rPr>
        <w:t>modificarea Hotărâr</w:t>
      </w:r>
      <w:r w:rsidR="00E631AE">
        <w:rPr>
          <w:b/>
        </w:rPr>
        <w:t>ii</w:t>
      </w:r>
      <w:r w:rsidR="004E504C" w:rsidRPr="004E504C">
        <w:rPr>
          <w:b/>
        </w:rPr>
        <w:t xml:space="preserve"> Guvernului nr. 52/2018 privind organizarea și funcționarea Ministerului Investițiilor și Proiectelor Europene</w:t>
      </w:r>
      <w:r w:rsidRPr="00312A59">
        <w:t xml:space="preserve">, care, în forma prezentată, a fost avizat de ministerele interesate </w:t>
      </w:r>
      <w:r w:rsidR="00E67733" w:rsidRPr="00312A59">
        <w:t>ș</w:t>
      </w:r>
      <w:r w:rsidRPr="00312A59">
        <w:t>i pe care îl supunem adoptării.</w:t>
      </w:r>
    </w:p>
    <w:p w14:paraId="6283AD1A" w14:textId="77777777" w:rsidR="00CF120E" w:rsidRPr="00312A59" w:rsidRDefault="00CF120E" w:rsidP="00312A59">
      <w:pPr>
        <w:jc w:val="center"/>
        <w:rPr>
          <w:b/>
        </w:rPr>
      </w:pPr>
    </w:p>
    <w:p w14:paraId="3F0B1CB9" w14:textId="77777777" w:rsidR="00312A59" w:rsidRPr="00312A59" w:rsidRDefault="00312A59" w:rsidP="00312A59">
      <w:pPr>
        <w:jc w:val="center"/>
        <w:rPr>
          <w:b/>
        </w:rPr>
      </w:pPr>
    </w:p>
    <w:p w14:paraId="148D51D9" w14:textId="77777777" w:rsidR="00312A59" w:rsidRPr="00312A59" w:rsidRDefault="00312A59" w:rsidP="00312A59">
      <w:pPr>
        <w:jc w:val="center"/>
        <w:rPr>
          <w:b/>
        </w:rPr>
      </w:pPr>
    </w:p>
    <w:p w14:paraId="46D75F25" w14:textId="77777777" w:rsidR="006F3F80" w:rsidRPr="00312A59" w:rsidRDefault="006F3F80" w:rsidP="00312A59">
      <w:pPr>
        <w:jc w:val="center"/>
        <w:rPr>
          <w:b/>
        </w:rPr>
      </w:pPr>
      <w:r w:rsidRPr="00312A59">
        <w:rPr>
          <w:b/>
        </w:rPr>
        <w:t>MINISTRUL INVESTIȚIILOR ȘI PROIECTELOR EUROPENE</w:t>
      </w:r>
    </w:p>
    <w:p w14:paraId="4F69D88B" w14:textId="510278AB" w:rsidR="006F3F80" w:rsidRDefault="00E631AE" w:rsidP="00312A59">
      <w:pPr>
        <w:jc w:val="center"/>
        <w:rPr>
          <w:b/>
        </w:rPr>
      </w:pPr>
      <w:r>
        <w:rPr>
          <w:b/>
        </w:rPr>
        <w:t>Dragoș-Nicolae P</w:t>
      </w:r>
      <w:r w:rsidR="009E2A76">
        <w:rPr>
          <w:b/>
        </w:rPr>
        <w:t>ÎSLARU</w:t>
      </w:r>
    </w:p>
    <w:p w14:paraId="4DC3597D" w14:textId="77777777" w:rsidR="0057512C" w:rsidRDefault="0057512C" w:rsidP="00312A59">
      <w:pPr>
        <w:jc w:val="center"/>
        <w:rPr>
          <w:b/>
        </w:rPr>
      </w:pPr>
    </w:p>
    <w:p w14:paraId="3723D097" w14:textId="77777777" w:rsidR="004E504C" w:rsidRDefault="004E504C" w:rsidP="0057512C">
      <w:pPr>
        <w:jc w:val="center"/>
        <w:rPr>
          <w:b/>
          <w:color w:val="000000" w:themeColor="text1"/>
          <w:u w:val="single"/>
        </w:rPr>
      </w:pPr>
    </w:p>
    <w:p w14:paraId="5BFB43EA" w14:textId="77777777" w:rsidR="007E5847" w:rsidRDefault="007E5847" w:rsidP="0057512C">
      <w:pPr>
        <w:jc w:val="center"/>
        <w:rPr>
          <w:b/>
          <w:color w:val="000000" w:themeColor="text1"/>
          <w:u w:val="single"/>
        </w:rPr>
      </w:pPr>
    </w:p>
    <w:p w14:paraId="522C042B" w14:textId="77777777" w:rsidR="007E5847" w:rsidRDefault="007E5847" w:rsidP="0057512C">
      <w:pPr>
        <w:jc w:val="center"/>
        <w:rPr>
          <w:b/>
          <w:color w:val="000000" w:themeColor="text1"/>
          <w:u w:val="single"/>
        </w:rPr>
      </w:pPr>
    </w:p>
    <w:p w14:paraId="51A2B70D" w14:textId="77777777" w:rsidR="007E5847" w:rsidRDefault="007E5847" w:rsidP="0057512C">
      <w:pPr>
        <w:jc w:val="center"/>
        <w:rPr>
          <w:b/>
          <w:color w:val="000000" w:themeColor="text1"/>
          <w:u w:val="single"/>
        </w:rPr>
      </w:pPr>
    </w:p>
    <w:p w14:paraId="60F5A5FE" w14:textId="77777777" w:rsidR="007E5847" w:rsidRDefault="007E5847" w:rsidP="002779F9">
      <w:pPr>
        <w:rPr>
          <w:b/>
          <w:color w:val="000000" w:themeColor="text1"/>
          <w:u w:val="single"/>
        </w:rPr>
      </w:pPr>
    </w:p>
    <w:p w14:paraId="5800C5B9" w14:textId="77777777" w:rsidR="00D270B3" w:rsidRDefault="00D270B3" w:rsidP="006B6F0F">
      <w:pPr>
        <w:rPr>
          <w:b/>
          <w:color w:val="000000" w:themeColor="text1"/>
          <w:u w:val="single"/>
        </w:rPr>
      </w:pPr>
    </w:p>
    <w:p w14:paraId="2A4017DD" w14:textId="66DC0D76" w:rsidR="002779F9" w:rsidRPr="00072E75" w:rsidRDefault="002779F9" w:rsidP="002779F9">
      <w:pPr>
        <w:jc w:val="center"/>
        <w:rPr>
          <w:b/>
          <w:color w:val="000000" w:themeColor="text1"/>
        </w:rPr>
      </w:pPr>
      <w:r w:rsidRPr="00072E75">
        <w:rPr>
          <w:b/>
          <w:color w:val="000000" w:themeColor="text1"/>
          <w:u w:val="single"/>
        </w:rPr>
        <w:t>Avizăm</w:t>
      </w:r>
      <w:r w:rsidRPr="00072E75">
        <w:rPr>
          <w:b/>
          <w:color w:val="000000" w:themeColor="text1"/>
        </w:rPr>
        <w:t>:</w:t>
      </w:r>
    </w:p>
    <w:p w14:paraId="77E04BB4" w14:textId="77777777" w:rsidR="002779F9" w:rsidRPr="00072E75" w:rsidRDefault="002779F9" w:rsidP="002779F9">
      <w:pPr>
        <w:jc w:val="center"/>
        <w:rPr>
          <w:b/>
          <w:color w:val="000000" w:themeColor="text1"/>
        </w:rPr>
      </w:pPr>
    </w:p>
    <w:p w14:paraId="72C53119" w14:textId="77777777" w:rsidR="002779F9" w:rsidRPr="00072E75" w:rsidRDefault="002779F9" w:rsidP="002779F9">
      <w:pPr>
        <w:jc w:val="center"/>
        <w:rPr>
          <w:b/>
          <w:color w:val="000000" w:themeColor="text1"/>
        </w:rPr>
      </w:pPr>
    </w:p>
    <w:p w14:paraId="11F97DE7" w14:textId="1906E09C" w:rsidR="002779F9" w:rsidRPr="00B33662" w:rsidRDefault="002779F9" w:rsidP="002779F9">
      <w:pPr>
        <w:jc w:val="center"/>
        <w:rPr>
          <w:b/>
        </w:rPr>
      </w:pPr>
      <w:r w:rsidRPr="00B33662">
        <w:rPr>
          <w:b/>
        </w:rPr>
        <w:t>VICEPRIM-MINISTRU</w:t>
      </w:r>
    </w:p>
    <w:p w14:paraId="2B5FB719" w14:textId="77777777" w:rsidR="002779F9" w:rsidRPr="00B33662" w:rsidRDefault="002779F9" w:rsidP="002779F9">
      <w:pPr>
        <w:jc w:val="center"/>
        <w:rPr>
          <w:b/>
        </w:rPr>
      </w:pPr>
    </w:p>
    <w:p w14:paraId="12000C0F" w14:textId="77777777" w:rsidR="002779F9" w:rsidRPr="00B33662" w:rsidRDefault="002779F9" w:rsidP="002779F9">
      <w:pPr>
        <w:keepNext/>
        <w:jc w:val="center"/>
        <w:outlineLvl w:val="1"/>
        <w:rPr>
          <w:b/>
          <w:lang w:eastAsia="ro-RO"/>
        </w:rPr>
      </w:pPr>
      <w:hyperlink r:id="rId11" w:history="1">
        <w:r w:rsidRPr="00B33662">
          <w:rPr>
            <w:b/>
            <w:lang w:eastAsia="ro-RO"/>
          </w:rPr>
          <w:t>Oana-Clara GHEORGHIU</w:t>
        </w:r>
      </w:hyperlink>
    </w:p>
    <w:p w14:paraId="26DB43FD" w14:textId="77777777" w:rsidR="002779F9" w:rsidRPr="00072E75" w:rsidRDefault="002779F9" w:rsidP="002779F9">
      <w:pPr>
        <w:jc w:val="center"/>
        <w:rPr>
          <w:b/>
          <w:color w:val="000000" w:themeColor="text1"/>
        </w:rPr>
      </w:pPr>
    </w:p>
    <w:p w14:paraId="44CBFEA7" w14:textId="77777777" w:rsidR="002779F9" w:rsidRPr="00072E75" w:rsidRDefault="002779F9" w:rsidP="002779F9">
      <w:pPr>
        <w:keepNext/>
        <w:jc w:val="center"/>
        <w:outlineLvl w:val="1"/>
        <w:rPr>
          <w:b/>
          <w:bCs/>
          <w:color w:val="000000" w:themeColor="text1"/>
          <w:lang w:eastAsia="ro-RO"/>
        </w:rPr>
      </w:pPr>
    </w:p>
    <w:p w14:paraId="60F519EB" w14:textId="77777777" w:rsidR="002779F9" w:rsidRPr="00072E75" w:rsidRDefault="002779F9" w:rsidP="002779F9">
      <w:pPr>
        <w:keepNext/>
        <w:jc w:val="center"/>
        <w:outlineLvl w:val="1"/>
        <w:rPr>
          <w:b/>
          <w:bCs/>
          <w:color w:val="000000" w:themeColor="text1"/>
          <w:lang w:eastAsia="ro-RO"/>
        </w:rPr>
      </w:pPr>
    </w:p>
    <w:p w14:paraId="7E6E4CFD" w14:textId="77777777" w:rsidR="002779F9" w:rsidRPr="00072E75" w:rsidRDefault="002779F9" w:rsidP="002779F9">
      <w:pPr>
        <w:jc w:val="center"/>
        <w:rPr>
          <w:b/>
          <w:color w:val="000000" w:themeColor="text1"/>
        </w:rPr>
      </w:pPr>
    </w:p>
    <w:tbl>
      <w:tblPr>
        <w:tblStyle w:val="TableGrid"/>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5"/>
      </w:tblGrid>
      <w:tr w:rsidR="002779F9" w:rsidRPr="00072E75" w14:paraId="79428E0F" w14:textId="77777777" w:rsidTr="002C3DB6">
        <w:trPr>
          <w:trHeight w:val="1028"/>
        </w:trPr>
        <w:tc>
          <w:tcPr>
            <w:tcW w:w="10705" w:type="dxa"/>
          </w:tcPr>
          <w:p w14:paraId="688C8F2D" w14:textId="77777777" w:rsidR="002779F9" w:rsidRPr="00072E75" w:rsidRDefault="002779F9" w:rsidP="002C3DB6">
            <w:pPr>
              <w:jc w:val="center"/>
              <w:rPr>
                <w:b/>
                <w:bCs/>
                <w:color w:val="EE0000"/>
              </w:rPr>
            </w:pPr>
          </w:p>
          <w:p w14:paraId="735DA88E" w14:textId="77777777" w:rsidR="002779F9" w:rsidRPr="00072E75" w:rsidRDefault="002779F9" w:rsidP="002C3DB6">
            <w:pPr>
              <w:jc w:val="center"/>
              <w:rPr>
                <w:b/>
                <w:bCs/>
                <w:color w:val="EE0000"/>
              </w:rPr>
            </w:pPr>
          </w:p>
          <w:p w14:paraId="6B184F69" w14:textId="77777777" w:rsidR="002779F9" w:rsidRPr="00072E75" w:rsidRDefault="002779F9" w:rsidP="002C3DB6">
            <w:pPr>
              <w:jc w:val="center"/>
              <w:rPr>
                <w:b/>
                <w:bCs/>
                <w:color w:val="EE0000"/>
              </w:rPr>
            </w:pPr>
          </w:p>
          <w:p w14:paraId="312F02D7" w14:textId="4567B964" w:rsidR="002779F9" w:rsidRDefault="00E71891" w:rsidP="002C3DB6">
            <w:pPr>
              <w:jc w:val="center"/>
              <w:rPr>
                <w:b/>
              </w:rPr>
            </w:pPr>
            <w:r w:rsidRPr="00E71891">
              <w:rPr>
                <w:b/>
              </w:rPr>
              <w:t>MINISTRU</w:t>
            </w:r>
            <w:r w:rsidR="000C0955">
              <w:rPr>
                <w:b/>
              </w:rPr>
              <w:t>L</w:t>
            </w:r>
            <w:r w:rsidRPr="00E71891">
              <w:rPr>
                <w:b/>
              </w:rPr>
              <w:t xml:space="preserve"> JUSTIȚIEI</w:t>
            </w:r>
            <w:r w:rsidR="00BA4EE4">
              <w:rPr>
                <w:b/>
              </w:rPr>
              <w:t>,</w:t>
            </w:r>
            <w:r w:rsidR="00BA4EE4" w:rsidRPr="00E71891">
              <w:rPr>
                <w:b/>
              </w:rPr>
              <w:t xml:space="preserve"> INTERIMAR</w:t>
            </w:r>
          </w:p>
          <w:p w14:paraId="2B580C5A" w14:textId="77777777" w:rsidR="00E71891" w:rsidRPr="00E71891" w:rsidRDefault="00E71891" w:rsidP="002C3DB6">
            <w:pPr>
              <w:jc w:val="center"/>
              <w:rPr>
                <w:bCs/>
              </w:rPr>
            </w:pPr>
          </w:p>
          <w:p w14:paraId="211D975A" w14:textId="5446DF0F" w:rsidR="00E71891" w:rsidRPr="00E71891" w:rsidRDefault="00E71891" w:rsidP="00E71891">
            <w:pPr>
              <w:keepNext/>
              <w:jc w:val="center"/>
              <w:outlineLvl w:val="1"/>
              <w:rPr>
                <w:b/>
                <w:lang w:eastAsia="ro-RO"/>
              </w:rPr>
            </w:pPr>
            <w:hyperlink r:id="rId12" w:history="1">
              <w:r w:rsidRPr="00E71891">
                <w:rPr>
                  <w:b/>
                  <w:lang w:eastAsia="ro-RO"/>
                </w:rPr>
                <w:t>Marian-Cătălin PREDOIU</w:t>
              </w:r>
            </w:hyperlink>
          </w:p>
          <w:p w14:paraId="738CBD2E" w14:textId="2D61EF14" w:rsidR="002779F9" w:rsidRPr="00072E75" w:rsidRDefault="002779F9" w:rsidP="002C3DB6">
            <w:pPr>
              <w:jc w:val="center"/>
              <w:rPr>
                <w:b/>
                <w:bCs/>
                <w:color w:val="EE0000"/>
              </w:rPr>
            </w:pPr>
          </w:p>
        </w:tc>
      </w:tr>
    </w:tbl>
    <w:p w14:paraId="0950DB80" w14:textId="77777777" w:rsidR="002779F9" w:rsidRPr="00072E75" w:rsidRDefault="002779F9" w:rsidP="002779F9">
      <w:pPr>
        <w:widowControl w:val="0"/>
        <w:autoSpaceDE w:val="0"/>
        <w:autoSpaceDN w:val="0"/>
        <w:adjustRightInd w:val="0"/>
        <w:rPr>
          <w:b/>
          <w:color w:val="EE0000"/>
        </w:rPr>
      </w:pPr>
    </w:p>
    <w:p w14:paraId="7E016F53" w14:textId="77777777" w:rsidR="002779F9" w:rsidRPr="00072E75" w:rsidRDefault="002779F9" w:rsidP="002779F9">
      <w:pPr>
        <w:widowControl w:val="0"/>
        <w:autoSpaceDE w:val="0"/>
        <w:autoSpaceDN w:val="0"/>
        <w:adjustRightInd w:val="0"/>
        <w:rPr>
          <w:b/>
          <w:color w:val="000000" w:themeColor="text1"/>
        </w:rPr>
      </w:pPr>
    </w:p>
    <w:p w14:paraId="1818BB57" w14:textId="77777777" w:rsidR="002779F9" w:rsidRPr="00072E75" w:rsidRDefault="002779F9" w:rsidP="002779F9">
      <w:pPr>
        <w:widowControl w:val="0"/>
        <w:autoSpaceDE w:val="0"/>
        <w:autoSpaceDN w:val="0"/>
        <w:adjustRightInd w:val="0"/>
        <w:rPr>
          <w:b/>
          <w:color w:val="000000" w:themeColor="text1"/>
        </w:rPr>
      </w:pPr>
    </w:p>
    <w:p w14:paraId="07D7B992" w14:textId="77777777" w:rsidR="002779F9" w:rsidRPr="00072E75" w:rsidRDefault="002779F9" w:rsidP="002779F9">
      <w:pPr>
        <w:widowControl w:val="0"/>
        <w:autoSpaceDE w:val="0"/>
        <w:autoSpaceDN w:val="0"/>
        <w:adjustRightInd w:val="0"/>
        <w:rPr>
          <w:b/>
          <w:color w:val="000000" w:themeColor="text1"/>
        </w:rPr>
      </w:pPr>
    </w:p>
    <w:p w14:paraId="79F6DC05" w14:textId="77777777" w:rsidR="002779F9" w:rsidRDefault="002779F9" w:rsidP="002779F9">
      <w:pPr>
        <w:widowControl w:val="0"/>
        <w:autoSpaceDE w:val="0"/>
        <w:autoSpaceDN w:val="0"/>
        <w:adjustRightInd w:val="0"/>
        <w:rPr>
          <w:b/>
          <w:color w:val="000000" w:themeColor="text1"/>
        </w:rPr>
      </w:pPr>
    </w:p>
    <w:p w14:paraId="64989F5F" w14:textId="77777777" w:rsidR="00FB62DE" w:rsidRDefault="00FB62DE" w:rsidP="002779F9">
      <w:pPr>
        <w:widowControl w:val="0"/>
        <w:autoSpaceDE w:val="0"/>
        <w:autoSpaceDN w:val="0"/>
        <w:adjustRightInd w:val="0"/>
        <w:rPr>
          <w:b/>
          <w:color w:val="000000" w:themeColor="text1"/>
        </w:rPr>
      </w:pPr>
    </w:p>
    <w:p w14:paraId="4760F5D8" w14:textId="77777777" w:rsidR="00FB62DE" w:rsidRDefault="00FB62DE" w:rsidP="002779F9">
      <w:pPr>
        <w:widowControl w:val="0"/>
        <w:autoSpaceDE w:val="0"/>
        <w:autoSpaceDN w:val="0"/>
        <w:adjustRightInd w:val="0"/>
        <w:rPr>
          <w:b/>
          <w:color w:val="000000" w:themeColor="text1"/>
        </w:rPr>
      </w:pPr>
    </w:p>
    <w:p w14:paraId="1CDA11BC" w14:textId="77777777" w:rsidR="00FB62DE" w:rsidRDefault="00FB62DE" w:rsidP="002779F9">
      <w:pPr>
        <w:widowControl w:val="0"/>
        <w:autoSpaceDE w:val="0"/>
        <w:autoSpaceDN w:val="0"/>
        <w:adjustRightInd w:val="0"/>
        <w:rPr>
          <w:b/>
          <w:color w:val="000000" w:themeColor="text1"/>
        </w:rPr>
      </w:pPr>
    </w:p>
    <w:p w14:paraId="60B94464" w14:textId="77777777" w:rsidR="00FB62DE" w:rsidRDefault="00FB62DE" w:rsidP="002779F9">
      <w:pPr>
        <w:widowControl w:val="0"/>
        <w:autoSpaceDE w:val="0"/>
        <w:autoSpaceDN w:val="0"/>
        <w:adjustRightInd w:val="0"/>
        <w:rPr>
          <w:b/>
          <w:color w:val="000000" w:themeColor="text1"/>
        </w:rPr>
      </w:pPr>
    </w:p>
    <w:p w14:paraId="0CC64C77" w14:textId="77777777" w:rsidR="00FB62DE" w:rsidRDefault="00FB62DE" w:rsidP="002779F9">
      <w:pPr>
        <w:widowControl w:val="0"/>
        <w:autoSpaceDE w:val="0"/>
        <w:autoSpaceDN w:val="0"/>
        <w:adjustRightInd w:val="0"/>
        <w:rPr>
          <w:b/>
          <w:color w:val="000000" w:themeColor="text1"/>
        </w:rPr>
      </w:pPr>
    </w:p>
    <w:p w14:paraId="2153AD60" w14:textId="77777777" w:rsidR="00FB62DE" w:rsidRDefault="00FB62DE" w:rsidP="002779F9">
      <w:pPr>
        <w:widowControl w:val="0"/>
        <w:autoSpaceDE w:val="0"/>
        <w:autoSpaceDN w:val="0"/>
        <w:adjustRightInd w:val="0"/>
        <w:rPr>
          <w:b/>
          <w:color w:val="000000" w:themeColor="text1"/>
        </w:rPr>
      </w:pPr>
    </w:p>
    <w:p w14:paraId="7DACA0D9" w14:textId="77777777" w:rsidR="00FB62DE" w:rsidRDefault="00FB62DE" w:rsidP="002779F9">
      <w:pPr>
        <w:widowControl w:val="0"/>
        <w:autoSpaceDE w:val="0"/>
        <w:autoSpaceDN w:val="0"/>
        <w:adjustRightInd w:val="0"/>
        <w:rPr>
          <w:b/>
          <w:color w:val="000000" w:themeColor="text1"/>
        </w:rPr>
      </w:pPr>
    </w:p>
    <w:p w14:paraId="3875793F" w14:textId="77777777" w:rsidR="00FB62DE" w:rsidRDefault="00FB62DE" w:rsidP="002779F9">
      <w:pPr>
        <w:widowControl w:val="0"/>
        <w:autoSpaceDE w:val="0"/>
        <w:autoSpaceDN w:val="0"/>
        <w:adjustRightInd w:val="0"/>
        <w:rPr>
          <w:b/>
          <w:color w:val="000000" w:themeColor="text1"/>
        </w:rPr>
      </w:pPr>
    </w:p>
    <w:p w14:paraId="13A118D8" w14:textId="77777777" w:rsidR="00FB62DE" w:rsidRDefault="00FB62DE" w:rsidP="002779F9">
      <w:pPr>
        <w:widowControl w:val="0"/>
        <w:autoSpaceDE w:val="0"/>
        <w:autoSpaceDN w:val="0"/>
        <w:adjustRightInd w:val="0"/>
        <w:rPr>
          <w:b/>
          <w:color w:val="000000" w:themeColor="text1"/>
        </w:rPr>
      </w:pPr>
    </w:p>
    <w:p w14:paraId="6D8620D9" w14:textId="77777777" w:rsidR="00FB62DE" w:rsidRDefault="00FB62DE" w:rsidP="002779F9">
      <w:pPr>
        <w:widowControl w:val="0"/>
        <w:autoSpaceDE w:val="0"/>
        <w:autoSpaceDN w:val="0"/>
        <w:adjustRightInd w:val="0"/>
        <w:rPr>
          <w:b/>
          <w:color w:val="000000" w:themeColor="text1"/>
        </w:rPr>
      </w:pPr>
    </w:p>
    <w:p w14:paraId="78CF42AC" w14:textId="77777777" w:rsidR="004E504C" w:rsidRDefault="004E504C" w:rsidP="00A6293C">
      <w:pPr>
        <w:rPr>
          <w:b/>
          <w:color w:val="000000" w:themeColor="text1"/>
          <w:u w:val="single"/>
        </w:rPr>
      </w:pPr>
    </w:p>
    <w:p w14:paraId="6F3A5DA6" w14:textId="77777777" w:rsidR="00E51FF2" w:rsidRDefault="00E51FF2" w:rsidP="00A6293C">
      <w:pPr>
        <w:rPr>
          <w:b/>
          <w:color w:val="000000" w:themeColor="text1"/>
          <w:u w:val="single"/>
        </w:rPr>
      </w:pPr>
    </w:p>
    <w:sectPr w:rsidR="00E51FF2" w:rsidSect="00566D8E">
      <w:footerReference w:type="even" r:id="rId13"/>
      <w:footerReference w:type="default" r:id="rId14"/>
      <w:pgSz w:w="12240" w:h="15840"/>
      <w:pgMar w:top="180" w:right="851"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01C5" w14:textId="77777777" w:rsidR="00770639" w:rsidRDefault="00770639">
      <w:r>
        <w:separator/>
      </w:r>
    </w:p>
  </w:endnote>
  <w:endnote w:type="continuationSeparator" w:id="0">
    <w:p w14:paraId="56CF16F2" w14:textId="77777777" w:rsidR="00770639" w:rsidRDefault="0077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8418" w14:textId="77777777" w:rsidR="00333B63" w:rsidRDefault="00333B63" w:rsidP="005144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733C72" w14:textId="77777777" w:rsidR="00333B63" w:rsidRDefault="00333B63" w:rsidP="005144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2F9A" w14:textId="77777777" w:rsidR="00333B63" w:rsidRDefault="00333B63" w:rsidP="005144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FE7F" w14:textId="77777777" w:rsidR="00770639" w:rsidRDefault="00770639">
      <w:r>
        <w:separator/>
      </w:r>
    </w:p>
  </w:footnote>
  <w:footnote w:type="continuationSeparator" w:id="0">
    <w:p w14:paraId="1EDA175C" w14:textId="77777777" w:rsidR="00770639" w:rsidRDefault="00770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A9E"/>
    <w:multiLevelType w:val="multilevel"/>
    <w:tmpl w:val="AD80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52885"/>
    <w:multiLevelType w:val="hybridMultilevel"/>
    <w:tmpl w:val="228A6CCC"/>
    <w:lvl w:ilvl="0" w:tplc="788AA9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135B5"/>
    <w:multiLevelType w:val="hybridMultilevel"/>
    <w:tmpl w:val="34A4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22316"/>
    <w:multiLevelType w:val="hybridMultilevel"/>
    <w:tmpl w:val="0DBEAD36"/>
    <w:lvl w:ilvl="0" w:tplc="0409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82433A"/>
    <w:multiLevelType w:val="hybridMultilevel"/>
    <w:tmpl w:val="BC048608"/>
    <w:lvl w:ilvl="0" w:tplc="1A3A6FCE">
      <w:numFmt w:val="bullet"/>
      <w:lvlText w:val="-"/>
      <w:lvlJc w:val="left"/>
      <w:pPr>
        <w:ind w:left="720" w:hanging="360"/>
      </w:pPr>
      <w:rPr>
        <w:rFonts w:ascii="Times New Roman" w:eastAsia="Times New Roman" w:hAnsi="Times New Roman" w:cs="Times New Roman"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8EB1E2E"/>
    <w:multiLevelType w:val="hybridMultilevel"/>
    <w:tmpl w:val="1584D3C4"/>
    <w:lvl w:ilvl="0" w:tplc="91A84C5E">
      <w:start w:val="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49D35B9"/>
    <w:multiLevelType w:val="hybridMultilevel"/>
    <w:tmpl w:val="133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E86292"/>
    <w:multiLevelType w:val="multilevel"/>
    <w:tmpl w:val="B214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945ACC"/>
    <w:multiLevelType w:val="hybridMultilevel"/>
    <w:tmpl w:val="B978A734"/>
    <w:lvl w:ilvl="0" w:tplc="F3F81676">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9813838">
    <w:abstractNumId w:val="1"/>
  </w:num>
  <w:num w:numId="2" w16cid:durableId="1270577552">
    <w:abstractNumId w:val="4"/>
  </w:num>
  <w:num w:numId="3" w16cid:durableId="280460914">
    <w:abstractNumId w:val="2"/>
  </w:num>
  <w:num w:numId="4" w16cid:durableId="1141189876">
    <w:abstractNumId w:val="3"/>
  </w:num>
  <w:num w:numId="5" w16cid:durableId="861625601">
    <w:abstractNumId w:val="0"/>
  </w:num>
  <w:num w:numId="6" w16cid:durableId="461732702">
    <w:abstractNumId w:val="6"/>
  </w:num>
  <w:num w:numId="7" w16cid:durableId="603266281">
    <w:abstractNumId w:val="7"/>
  </w:num>
  <w:num w:numId="8" w16cid:durableId="2092502926">
    <w:abstractNumId w:val="8"/>
  </w:num>
  <w:num w:numId="9" w16cid:durableId="195074555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EA6"/>
    <w:rsid w:val="00000905"/>
    <w:rsid w:val="000019B6"/>
    <w:rsid w:val="00002102"/>
    <w:rsid w:val="00002E4A"/>
    <w:rsid w:val="000031A8"/>
    <w:rsid w:val="000040A1"/>
    <w:rsid w:val="000042B4"/>
    <w:rsid w:val="00005087"/>
    <w:rsid w:val="00006834"/>
    <w:rsid w:val="00006F20"/>
    <w:rsid w:val="0000707B"/>
    <w:rsid w:val="00007F6A"/>
    <w:rsid w:val="000120BA"/>
    <w:rsid w:val="0001289B"/>
    <w:rsid w:val="000129EF"/>
    <w:rsid w:val="0001318A"/>
    <w:rsid w:val="00013621"/>
    <w:rsid w:val="00013A8E"/>
    <w:rsid w:val="0001442E"/>
    <w:rsid w:val="000155D5"/>
    <w:rsid w:val="00015FE8"/>
    <w:rsid w:val="000160F3"/>
    <w:rsid w:val="000179B9"/>
    <w:rsid w:val="00017D04"/>
    <w:rsid w:val="000220C4"/>
    <w:rsid w:val="0002299E"/>
    <w:rsid w:val="00022A18"/>
    <w:rsid w:val="00022BD3"/>
    <w:rsid w:val="0002441F"/>
    <w:rsid w:val="00024F37"/>
    <w:rsid w:val="00025015"/>
    <w:rsid w:val="000260DD"/>
    <w:rsid w:val="000265F7"/>
    <w:rsid w:val="00026B13"/>
    <w:rsid w:val="00027469"/>
    <w:rsid w:val="00027B94"/>
    <w:rsid w:val="00031D8D"/>
    <w:rsid w:val="0003205B"/>
    <w:rsid w:val="0003329B"/>
    <w:rsid w:val="000352BB"/>
    <w:rsid w:val="00035D17"/>
    <w:rsid w:val="000369EF"/>
    <w:rsid w:val="00040B7B"/>
    <w:rsid w:val="00040C9A"/>
    <w:rsid w:val="00041B57"/>
    <w:rsid w:val="0004295B"/>
    <w:rsid w:val="00043471"/>
    <w:rsid w:val="00043911"/>
    <w:rsid w:val="00044209"/>
    <w:rsid w:val="0004452D"/>
    <w:rsid w:val="0004511E"/>
    <w:rsid w:val="000456D8"/>
    <w:rsid w:val="00046B44"/>
    <w:rsid w:val="00047D7F"/>
    <w:rsid w:val="00050021"/>
    <w:rsid w:val="000503A8"/>
    <w:rsid w:val="0005047B"/>
    <w:rsid w:val="00051172"/>
    <w:rsid w:val="00054869"/>
    <w:rsid w:val="00054CFA"/>
    <w:rsid w:val="00054DF8"/>
    <w:rsid w:val="000563C0"/>
    <w:rsid w:val="0005669C"/>
    <w:rsid w:val="00057629"/>
    <w:rsid w:val="00057EC8"/>
    <w:rsid w:val="00060E2F"/>
    <w:rsid w:val="00061175"/>
    <w:rsid w:val="00061E6F"/>
    <w:rsid w:val="0006216F"/>
    <w:rsid w:val="00062BA0"/>
    <w:rsid w:val="0006409E"/>
    <w:rsid w:val="0006476E"/>
    <w:rsid w:val="00064A6B"/>
    <w:rsid w:val="00064E28"/>
    <w:rsid w:val="0006713F"/>
    <w:rsid w:val="00070830"/>
    <w:rsid w:val="000723AE"/>
    <w:rsid w:val="00073195"/>
    <w:rsid w:val="000733D3"/>
    <w:rsid w:val="00073804"/>
    <w:rsid w:val="000747A9"/>
    <w:rsid w:val="00074ECA"/>
    <w:rsid w:val="0007609F"/>
    <w:rsid w:val="00076C55"/>
    <w:rsid w:val="00080772"/>
    <w:rsid w:val="000808EE"/>
    <w:rsid w:val="00081475"/>
    <w:rsid w:val="00083DB6"/>
    <w:rsid w:val="00083EAF"/>
    <w:rsid w:val="00084396"/>
    <w:rsid w:val="00084EE5"/>
    <w:rsid w:val="00084F56"/>
    <w:rsid w:val="000850EC"/>
    <w:rsid w:val="00085904"/>
    <w:rsid w:val="00086114"/>
    <w:rsid w:val="00087383"/>
    <w:rsid w:val="00087C48"/>
    <w:rsid w:val="00087CBE"/>
    <w:rsid w:val="00090676"/>
    <w:rsid w:val="000920D3"/>
    <w:rsid w:val="0009222E"/>
    <w:rsid w:val="00092376"/>
    <w:rsid w:val="0009320D"/>
    <w:rsid w:val="00093932"/>
    <w:rsid w:val="00094481"/>
    <w:rsid w:val="000949D2"/>
    <w:rsid w:val="00094AE3"/>
    <w:rsid w:val="00094D04"/>
    <w:rsid w:val="0009526D"/>
    <w:rsid w:val="00095300"/>
    <w:rsid w:val="0009621B"/>
    <w:rsid w:val="000962EE"/>
    <w:rsid w:val="0009766A"/>
    <w:rsid w:val="000976EF"/>
    <w:rsid w:val="000A06E8"/>
    <w:rsid w:val="000A0CB9"/>
    <w:rsid w:val="000A1143"/>
    <w:rsid w:val="000A1EA6"/>
    <w:rsid w:val="000A437E"/>
    <w:rsid w:val="000A4DD9"/>
    <w:rsid w:val="000A5BAB"/>
    <w:rsid w:val="000A6298"/>
    <w:rsid w:val="000A71F1"/>
    <w:rsid w:val="000B036B"/>
    <w:rsid w:val="000B1818"/>
    <w:rsid w:val="000B264A"/>
    <w:rsid w:val="000B2870"/>
    <w:rsid w:val="000B391A"/>
    <w:rsid w:val="000B3D76"/>
    <w:rsid w:val="000B4945"/>
    <w:rsid w:val="000B55D8"/>
    <w:rsid w:val="000B650E"/>
    <w:rsid w:val="000B665D"/>
    <w:rsid w:val="000B7506"/>
    <w:rsid w:val="000B753E"/>
    <w:rsid w:val="000B7544"/>
    <w:rsid w:val="000C0955"/>
    <w:rsid w:val="000C28A0"/>
    <w:rsid w:val="000C3277"/>
    <w:rsid w:val="000C3586"/>
    <w:rsid w:val="000C3625"/>
    <w:rsid w:val="000C4A4F"/>
    <w:rsid w:val="000C53DE"/>
    <w:rsid w:val="000C54A4"/>
    <w:rsid w:val="000C5C8F"/>
    <w:rsid w:val="000C614B"/>
    <w:rsid w:val="000C6440"/>
    <w:rsid w:val="000C7D63"/>
    <w:rsid w:val="000C7EAF"/>
    <w:rsid w:val="000C7EEC"/>
    <w:rsid w:val="000D0889"/>
    <w:rsid w:val="000D0CFB"/>
    <w:rsid w:val="000D23B9"/>
    <w:rsid w:val="000D291B"/>
    <w:rsid w:val="000D2B20"/>
    <w:rsid w:val="000D315E"/>
    <w:rsid w:val="000D403B"/>
    <w:rsid w:val="000D4132"/>
    <w:rsid w:val="000D4C09"/>
    <w:rsid w:val="000D5D2B"/>
    <w:rsid w:val="000D63FD"/>
    <w:rsid w:val="000D7724"/>
    <w:rsid w:val="000E0330"/>
    <w:rsid w:val="000E0B96"/>
    <w:rsid w:val="000E0EA4"/>
    <w:rsid w:val="000E2B7E"/>
    <w:rsid w:val="000E2C2D"/>
    <w:rsid w:val="000E3A3E"/>
    <w:rsid w:val="000E3A58"/>
    <w:rsid w:val="000E440D"/>
    <w:rsid w:val="000E4B0E"/>
    <w:rsid w:val="000E5064"/>
    <w:rsid w:val="000E5AC5"/>
    <w:rsid w:val="000E64C1"/>
    <w:rsid w:val="000E6C96"/>
    <w:rsid w:val="000E6FCF"/>
    <w:rsid w:val="000E7268"/>
    <w:rsid w:val="000E739A"/>
    <w:rsid w:val="000E74F5"/>
    <w:rsid w:val="000F01C4"/>
    <w:rsid w:val="000F1EF5"/>
    <w:rsid w:val="000F26C2"/>
    <w:rsid w:val="000F40EF"/>
    <w:rsid w:val="000F4AE1"/>
    <w:rsid w:val="000F6105"/>
    <w:rsid w:val="000F7896"/>
    <w:rsid w:val="000F7AFC"/>
    <w:rsid w:val="00100251"/>
    <w:rsid w:val="00100B3B"/>
    <w:rsid w:val="00101926"/>
    <w:rsid w:val="00101A9B"/>
    <w:rsid w:val="001023B0"/>
    <w:rsid w:val="00102EFC"/>
    <w:rsid w:val="001035EF"/>
    <w:rsid w:val="00104659"/>
    <w:rsid w:val="0010482B"/>
    <w:rsid w:val="00105808"/>
    <w:rsid w:val="001067AA"/>
    <w:rsid w:val="00106FB3"/>
    <w:rsid w:val="00106FE8"/>
    <w:rsid w:val="00107736"/>
    <w:rsid w:val="00107740"/>
    <w:rsid w:val="001077E3"/>
    <w:rsid w:val="00107E28"/>
    <w:rsid w:val="001100E6"/>
    <w:rsid w:val="001110C2"/>
    <w:rsid w:val="00112E9E"/>
    <w:rsid w:val="001147BA"/>
    <w:rsid w:val="0011501B"/>
    <w:rsid w:val="00115083"/>
    <w:rsid w:val="00115131"/>
    <w:rsid w:val="001160E8"/>
    <w:rsid w:val="00117142"/>
    <w:rsid w:val="001175FA"/>
    <w:rsid w:val="00120565"/>
    <w:rsid w:val="00121CCC"/>
    <w:rsid w:val="001250F7"/>
    <w:rsid w:val="00125245"/>
    <w:rsid w:val="001256E3"/>
    <w:rsid w:val="00126BBF"/>
    <w:rsid w:val="00127BF7"/>
    <w:rsid w:val="00130ADF"/>
    <w:rsid w:val="00131281"/>
    <w:rsid w:val="001313D8"/>
    <w:rsid w:val="0013230E"/>
    <w:rsid w:val="00132CE7"/>
    <w:rsid w:val="001334BA"/>
    <w:rsid w:val="001338CB"/>
    <w:rsid w:val="00133A3B"/>
    <w:rsid w:val="0013510B"/>
    <w:rsid w:val="0013619D"/>
    <w:rsid w:val="0013676D"/>
    <w:rsid w:val="00136C6D"/>
    <w:rsid w:val="00137A13"/>
    <w:rsid w:val="001400B6"/>
    <w:rsid w:val="0014186B"/>
    <w:rsid w:val="00142BE8"/>
    <w:rsid w:val="00143AEA"/>
    <w:rsid w:val="001459BC"/>
    <w:rsid w:val="00145BA1"/>
    <w:rsid w:val="0014608E"/>
    <w:rsid w:val="0014728C"/>
    <w:rsid w:val="00147F0F"/>
    <w:rsid w:val="001500EA"/>
    <w:rsid w:val="0015083B"/>
    <w:rsid w:val="00150A3E"/>
    <w:rsid w:val="00152085"/>
    <w:rsid w:val="001526FB"/>
    <w:rsid w:val="001528E8"/>
    <w:rsid w:val="00153B2A"/>
    <w:rsid w:val="0015446A"/>
    <w:rsid w:val="001544DC"/>
    <w:rsid w:val="00154893"/>
    <w:rsid w:val="00155452"/>
    <w:rsid w:val="001555A4"/>
    <w:rsid w:val="001557AB"/>
    <w:rsid w:val="00156180"/>
    <w:rsid w:val="0015762E"/>
    <w:rsid w:val="00157B5B"/>
    <w:rsid w:val="00160148"/>
    <w:rsid w:val="001604FF"/>
    <w:rsid w:val="00160F88"/>
    <w:rsid w:val="00161097"/>
    <w:rsid w:val="0016122F"/>
    <w:rsid w:val="00161A61"/>
    <w:rsid w:val="00162A88"/>
    <w:rsid w:val="0016483E"/>
    <w:rsid w:val="00164F79"/>
    <w:rsid w:val="00164FF3"/>
    <w:rsid w:val="0016586E"/>
    <w:rsid w:val="00165A07"/>
    <w:rsid w:val="00165C92"/>
    <w:rsid w:val="00165D17"/>
    <w:rsid w:val="00165D35"/>
    <w:rsid w:val="00166982"/>
    <w:rsid w:val="0016702F"/>
    <w:rsid w:val="0016785A"/>
    <w:rsid w:val="00167EF9"/>
    <w:rsid w:val="0017030A"/>
    <w:rsid w:val="00170D4E"/>
    <w:rsid w:val="00172493"/>
    <w:rsid w:val="001725C4"/>
    <w:rsid w:val="001734CB"/>
    <w:rsid w:val="00173986"/>
    <w:rsid w:val="001757CC"/>
    <w:rsid w:val="0017630C"/>
    <w:rsid w:val="001774C7"/>
    <w:rsid w:val="001776C1"/>
    <w:rsid w:val="00177CD3"/>
    <w:rsid w:val="00177EC3"/>
    <w:rsid w:val="00180210"/>
    <w:rsid w:val="00180B7B"/>
    <w:rsid w:val="00181323"/>
    <w:rsid w:val="0018173D"/>
    <w:rsid w:val="00181DB6"/>
    <w:rsid w:val="00182C02"/>
    <w:rsid w:val="00183487"/>
    <w:rsid w:val="00183A2F"/>
    <w:rsid w:val="00184061"/>
    <w:rsid w:val="0018530B"/>
    <w:rsid w:val="001858C8"/>
    <w:rsid w:val="00186CFB"/>
    <w:rsid w:val="00186E4E"/>
    <w:rsid w:val="00187B39"/>
    <w:rsid w:val="00187E60"/>
    <w:rsid w:val="0019130E"/>
    <w:rsid w:val="0019189C"/>
    <w:rsid w:val="001919CC"/>
    <w:rsid w:val="00192461"/>
    <w:rsid w:val="0019372B"/>
    <w:rsid w:val="0019387C"/>
    <w:rsid w:val="001945C9"/>
    <w:rsid w:val="00195126"/>
    <w:rsid w:val="0019623A"/>
    <w:rsid w:val="001966DB"/>
    <w:rsid w:val="0019704E"/>
    <w:rsid w:val="001A0854"/>
    <w:rsid w:val="001A0AEA"/>
    <w:rsid w:val="001A1AA3"/>
    <w:rsid w:val="001A1AE5"/>
    <w:rsid w:val="001A1D31"/>
    <w:rsid w:val="001A2673"/>
    <w:rsid w:val="001A27F3"/>
    <w:rsid w:val="001A2A6E"/>
    <w:rsid w:val="001A374F"/>
    <w:rsid w:val="001A3F74"/>
    <w:rsid w:val="001A4420"/>
    <w:rsid w:val="001A4F86"/>
    <w:rsid w:val="001A61B2"/>
    <w:rsid w:val="001A688B"/>
    <w:rsid w:val="001A71EB"/>
    <w:rsid w:val="001A758C"/>
    <w:rsid w:val="001A78A0"/>
    <w:rsid w:val="001A7C31"/>
    <w:rsid w:val="001B0C71"/>
    <w:rsid w:val="001B16A5"/>
    <w:rsid w:val="001B1912"/>
    <w:rsid w:val="001B1AD6"/>
    <w:rsid w:val="001B210D"/>
    <w:rsid w:val="001B22D1"/>
    <w:rsid w:val="001B23D0"/>
    <w:rsid w:val="001B2B36"/>
    <w:rsid w:val="001B2E2F"/>
    <w:rsid w:val="001B349E"/>
    <w:rsid w:val="001B3B27"/>
    <w:rsid w:val="001B4FE1"/>
    <w:rsid w:val="001B5BE4"/>
    <w:rsid w:val="001B6DD8"/>
    <w:rsid w:val="001B7961"/>
    <w:rsid w:val="001B7998"/>
    <w:rsid w:val="001C0F8C"/>
    <w:rsid w:val="001C13DB"/>
    <w:rsid w:val="001C1AB4"/>
    <w:rsid w:val="001C25B7"/>
    <w:rsid w:val="001C2EA5"/>
    <w:rsid w:val="001C33B5"/>
    <w:rsid w:val="001C3C52"/>
    <w:rsid w:val="001C3DB4"/>
    <w:rsid w:val="001C3EF4"/>
    <w:rsid w:val="001C472A"/>
    <w:rsid w:val="001C4735"/>
    <w:rsid w:val="001C55B8"/>
    <w:rsid w:val="001C6BF4"/>
    <w:rsid w:val="001C7510"/>
    <w:rsid w:val="001C7C15"/>
    <w:rsid w:val="001C7F08"/>
    <w:rsid w:val="001C7F48"/>
    <w:rsid w:val="001D0467"/>
    <w:rsid w:val="001D0DEB"/>
    <w:rsid w:val="001D2842"/>
    <w:rsid w:val="001D2A53"/>
    <w:rsid w:val="001D7448"/>
    <w:rsid w:val="001E058E"/>
    <w:rsid w:val="001E0BD4"/>
    <w:rsid w:val="001E0D0D"/>
    <w:rsid w:val="001E10D6"/>
    <w:rsid w:val="001E11B1"/>
    <w:rsid w:val="001E2092"/>
    <w:rsid w:val="001E236E"/>
    <w:rsid w:val="001E2CAF"/>
    <w:rsid w:val="001E5470"/>
    <w:rsid w:val="001E55B3"/>
    <w:rsid w:val="001E666D"/>
    <w:rsid w:val="001E67E7"/>
    <w:rsid w:val="001E6963"/>
    <w:rsid w:val="001E69E4"/>
    <w:rsid w:val="001E6A4B"/>
    <w:rsid w:val="001E708B"/>
    <w:rsid w:val="001E7255"/>
    <w:rsid w:val="001E7C5A"/>
    <w:rsid w:val="001E7E31"/>
    <w:rsid w:val="001F14A2"/>
    <w:rsid w:val="001F1E7E"/>
    <w:rsid w:val="001F1F94"/>
    <w:rsid w:val="001F418F"/>
    <w:rsid w:val="001F44D1"/>
    <w:rsid w:val="001F55E9"/>
    <w:rsid w:val="001F582E"/>
    <w:rsid w:val="001F654F"/>
    <w:rsid w:val="001F6D5C"/>
    <w:rsid w:val="001F700D"/>
    <w:rsid w:val="001F7034"/>
    <w:rsid w:val="001F733F"/>
    <w:rsid w:val="001F7607"/>
    <w:rsid w:val="00200520"/>
    <w:rsid w:val="00200720"/>
    <w:rsid w:val="002007DF"/>
    <w:rsid w:val="00202A00"/>
    <w:rsid w:val="00202B95"/>
    <w:rsid w:val="0020304F"/>
    <w:rsid w:val="00203972"/>
    <w:rsid w:val="002102C0"/>
    <w:rsid w:val="002103C9"/>
    <w:rsid w:val="00210E9C"/>
    <w:rsid w:val="00211627"/>
    <w:rsid w:val="002116FE"/>
    <w:rsid w:val="002119DD"/>
    <w:rsid w:val="0021286D"/>
    <w:rsid w:val="00212972"/>
    <w:rsid w:val="00213877"/>
    <w:rsid w:val="00213BDB"/>
    <w:rsid w:val="002141AE"/>
    <w:rsid w:val="00214238"/>
    <w:rsid w:val="00214291"/>
    <w:rsid w:val="002152C3"/>
    <w:rsid w:val="002153BF"/>
    <w:rsid w:val="002153E2"/>
    <w:rsid w:val="00217238"/>
    <w:rsid w:val="00217BF3"/>
    <w:rsid w:val="00220BDB"/>
    <w:rsid w:val="00221987"/>
    <w:rsid w:val="00221B2B"/>
    <w:rsid w:val="00222E7C"/>
    <w:rsid w:val="00223491"/>
    <w:rsid w:val="0022370D"/>
    <w:rsid w:val="00223AFB"/>
    <w:rsid w:val="00225653"/>
    <w:rsid w:val="002262AE"/>
    <w:rsid w:val="002269FE"/>
    <w:rsid w:val="002272C5"/>
    <w:rsid w:val="002272EC"/>
    <w:rsid w:val="00227A62"/>
    <w:rsid w:val="00230EAE"/>
    <w:rsid w:val="00231324"/>
    <w:rsid w:val="00231F26"/>
    <w:rsid w:val="00232ED4"/>
    <w:rsid w:val="0023360D"/>
    <w:rsid w:val="002337CA"/>
    <w:rsid w:val="00233882"/>
    <w:rsid w:val="00233A87"/>
    <w:rsid w:val="00233C84"/>
    <w:rsid w:val="00233D49"/>
    <w:rsid w:val="0023404B"/>
    <w:rsid w:val="0023452B"/>
    <w:rsid w:val="00234703"/>
    <w:rsid w:val="002348DD"/>
    <w:rsid w:val="0023492E"/>
    <w:rsid w:val="00234AB0"/>
    <w:rsid w:val="00234B65"/>
    <w:rsid w:val="002354D3"/>
    <w:rsid w:val="00235558"/>
    <w:rsid w:val="00235EAE"/>
    <w:rsid w:val="002404DC"/>
    <w:rsid w:val="002404F7"/>
    <w:rsid w:val="00240C1F"/>
    <w:rsid w:val="00242753"/>
    <w:rsid w:val="0024304B"/>
    <w:rsid w:val="002430E9"/>
    <w:rsid w:val="00244CF8"/>
    <w:rsid w:val="00245F0A"/>
    <w:rsid w:val="00246090"/>
    <w:rsid w:val="00246CC5"/>
    <w:rsid w:val="00246E24"/>
    <w:rsid w:val="00246E85"/>
    <w:rsid w:val="00250C5C"/>
    <w:rsid w:val="00251605"/>
    <w:rsid w:val="00251E9D"/>
    <w:rsid w:val="0025201B"/>
    <w:rsid w:val="00254A40"/>
    <w:rsid w:val="00255148"/>
    <w:rsid w:val="00256383"/>
    <w:rsid w:val="0025682E"/>
    <w:rsid w:val="00256DD8"/>
    <w:rsid w:val="00257AF0"/>
    <w:rsid w:val="00257EF3"/>
    <w:rsid w:val="002609B5"/>
    <w:rsid w:val="00260E13"/>
    <w:rsid w:val="002623AD"/>
    <w:rsid w:val="00262462"/>
    <w:rsid w:val="0026264B"/>
    <w:rsid w:val="00262AAC"/>
    <w:rsid w:val="00262CFA"/>
    <w:rsid w:val="002635FB"/>
    <w:rsid w:val="002641D3"/>
    <w:rsid w:val="00266743"/>
    <w:rsid w:val="00267283"/>
    <w:rsid w:val="00267571"/>
    <w:rsid w:val="00271D4C"/>
    <w:rsid w:val="00272D53"/>
    <w:rsid w:val="0027308F"/>
    <w:rsid w:val="00273DC8"/>
    <w:rsid w:val="00274E8F"/>
    <w:rsid w:val="002753E4"/>
    <w:rsid w:val="002757AF"/>
    <w:rsid w:val="002757B5"/>
    <w:rsid w:val="00275947"/>
    <w:rsid w:val="00275C9C"/>
    <w:rsid w:val="00275D3D"/>
    <w:rsid w:val="00276B03"/>
    <w:rsid w:val="0027750A"/>
    <w:rsid w:val="002779F9"/>
    <w:rsid w:val="00280BAF"/>
    <w:rsid w:val="00282B2E"/>
    <w:rsid w:val="00282E65"/>
    <w:rsid w:val="00283CE6"/>
    <w:rsid w:val="00283DDB"/>
    <w:rsid w:val="00286173"/>
    <w:rsid w:val="002863AE"/>
    <w:rsid w:val="00286541"/>
    <w:rsid w:val="0028677C"/>
    <w:rsid w:val="002869DC"/>
    <w:rsid w:val="00286DEC"/>
    <w:rsid w:val="00291705"/>
    <w:rsid w:val="00292AF1"/>
    <w:rsid w:val="00294152"/>
    <w:rsid w:val="0029430E"/>
    <w:rsid w:val="00294D46"/>
    <w:rsid w:val="0029661C"/>
    <w:rsid w:val="0029683F"/>
    <w:rsid w:val="00296D11"/>
    <w:rsid w:val="00296DF6"/>
    <w:rsid w:val="0029781A"/>
    <w:rsid w:val="002A054A"/>
    <w:rsid w:val="002A133C"/>
    <w:rsid w:val="002A1DB0"/>
    <w:rsid w:val="002A28A0"/>
    <w:rsid w:val="002A409A"/>
    <w:rsid w:val="002A41C3"/>
    <w:rsid w:val="002A4A4D"/>
    <w:rsid w:val="002A4DC9"/>
    <w:rsid w:val="002A5F79"/>
    <w:rsid w:val="002A6848"/>
    <w:rsid w:val="002A6AB6"/>
    <w:rsid w:val="002A6ABB"/>
    <w:rsid w:val="002A6B00"/>
    <w:rsid w:val="002A7775"/>
    <w:rsid w:val="002A77F9"/>
    <w:rsid w:val="002A78C8"/>
    <w:rsid w:val="002A79BF"/>
    <w:rsid w:val="002A7B24"/>
    <w:rsid w:val="002B19AB"/>
    <w:rsid w:val="002B2155"/>
    <w:rsid w:val="002B28B0"/>
    <w:rsid w:val="002B583C"/>
    <w:rsid w:val="002B5CD4"/>
    <w:rsid w:val="002B689E"/>
    <w:rsid w:val="002B7888"/>
    <w:rsid w:val="002C122C"/>
    <w:rsid w:val="002C129E"/>
    <w:rsid w:val="002C1C7F"/>
    <w:rsid w:val="002C1FAC"/>
    <w:rsid w:val="002C2D81"/>
    <w:rsid w:val="002C3361"/>
    <w:rsid w:val="002C37C4"/>
    <w:rsid w:val="002C4552"/>
    <w:rsid w:val="002C4610"/>
    <w:rsid w:val="002C5396"/>
    <w:rsid w:val="002C600C"/>
    <w:rsid w:val="002C65CA"/>
    <w:rsid w:val="002C6EEE"/>
    <w:rsid w:val="002C741E"/>
    <w:rsid w:val="002D0080"/>
    <w:rsid w:val="002D0AAB"/>
    <w:rsid w:val="002D2048"/>
    <w:rsid w:val="002D214D"/>
    <w:rsid w:val="002D21EB"/>
    <w:rsid w:val="002D242C"/>
    <w:rsid w:val="002D3A08"/>
    <w:rsid w:val="002D3CA2"/>
    <w:rsid w:val="002D3CFD"/>
    <w:rsid w:val="002D519D"/>
    <w:rsid w:val="002D63DE"/>
    <w:rsid w:val="002D70D9"/>
    <w:rsid w:val="002E0209"/>
    <w:rsid w:val="002E1FBB"/>
    <w:rsid w:val="002E20A6"/>
    <w:rsid w:val="002E22BC"/>
    <w:rsid w:val="002E3AFC"/>
    <w:rsid w:val="002E3BEE"/>
    <w:rsid w:val="002E41BD"/>
    <w:rsid w:val="002E49D6"/>
    <w:rsid w:val="002E5329"/>
    <w:rsid w:val="002E5723"/>
    <w:rsid w:val="002E5889"/>
    <w:rsid w:val="002E6018"/>
    <w:rsid w:val="002E6767"/>
    <w:rsid w:val="002E6BA8"/>
    <w:rsid w:val="002E7997"/>
    <w:rsid w:val="002E7E37"/>
    <w:rsid w:val="002F01BF"/>
    <w:rsid w:val="002F0CE9"/>
    <w:rsid w:val="002F1290"/>
    <w:rsid w:val="002F1A5E"/>
    <w:rsid w:val="002F1A9F"/>
    <w:rsid w:val="002F1D91"/>
    <w:rsid w:val="002F2645"/>
    <w:rsid w:val="002F2D32"/>
    <w:rsid w:val="002F36E2"/>
    <w:rsid w:val="002F4425"/>
    <w:rsid w:val="002F4B0E"/>
    <w:rsid w:val="002F4B4F"/>
    <w:rsid w:val="002F5B5F"/>
    <w:rsid w:val="002F665D"/>
    <w:rsid w:val="00300E1C"/>
    <w:rsid w:val="003012A9"/>
    <w:rsid w:val="00302525"/>
    <w:rsid w:val="00302ADB"/>
    <w:rsid w:val="00302D6F"/>
    <w:rsid w:val="00302EF5"/>
    <w:rsid w:val="00303448"/>
    <w:rsid w:val="003034B1"/>
    <w:rsid w:val="003039D9"/>
    <w:rsid w:val="00303C39"/>
    <w:rsid w:val="00303C67"/>
    <w:rsid w:val="00304361"/>
    <w:rsid w:val="00305061"/>
    <w:rsid w:val="0030581C"/>
    <w:rsid w:val="00305E5F"/>
    <w:rsid w:val="00306119"/>
    <w:rsid w:val="00310EA7"/>
    <w:rsid w:val="00310F34"/>
    <w:rsid w:val="00310F95"/>
    <w:rsid w:val="00312439"/>
    <w:rsid w:val="003127E6"/>
    <w:rsid w:val="00312A59"/>
    <w:rsid w:val="00312E6E"/>
    <w:rsid w:val="00312FF3"/>
    <w:rsid w:val="003138A1"/>
    <w:rsid w:val="00314AD9"/>
    <w:rsid w:val="00314EF7"/>
    <w:rsid w:val="00315CB8"/>
    <w:rsid w:val="003168BC"/>
    <w:rsid w:val="00317600"/>
    <w:rsid w:val="003179ED"/>
    <w:rsid w:val="00320940"/>
    <w:rsid w:val="00321965"/>
    <w:rsid w:val="00322480"/>
    <w:rsid w:val="00324260"/>
    <w:rsid w:val="00324785"/>
    <w:rsid w:val="00324938"/>
    <w:rsid w:val="00325BC3"/>
    <w:rsid w:val="00326800"/>
    <w:rsid w:val="003278FD"/>
    <w:rsid w:val="00330048"/>
    <w:rsid w:val="0033048A"/>
    <w:rsid w:val="003307EC"/>
    <w:rsid w:val="003316B4"/>
    <w:rsid w:val="00332715"/>
    <w:rsid w:val="00332FEB"/>
    <w:rsid w:val="00333AB9"/>
    <w:rsid w:val="00333B63"/>
    <w:rsid w:val="00333D27"/>
    <w:rsid w:val="003351DD"/>
    <w:rsid w:val="003357CA"/>
    <w:rsid w:val="00335C69"/>
    <w:rsid w:val="00336F8D"/>
    <w:rsid w:val="00340A8D"/>
    <w:rsid w:val="00342555"/>
    <w:rsid w:val="00343065"/>
    <w:rsid w:val="00343CF8"/>
    <w:rsid w:val="003456BD"/>
    <w:rsid w:val="00345C6D"/>
    <w:rsid w:val="00346344"/>
    <w:rsid w:val="0034765C"/>
    <w:rsid w:val="003476BE"/>
    <w:rsid w:val="003530A5"/>
    <w:rsid w:val="003543EA"/>
    <w:rsid w:val="003545B2"/>
    <w:rsid w:val="003547E5"/>
    <w:rsid w:val="0035521E"/>
    <w:rsid w:val="00355320"/>
    <w:rsid w:val="00355C12"/>
    <w:rsid w:val="00356457"/>
    <w:rsid w:val="003565C1"/>
    <w:rsid w:val="003569BD"/>
    <w:rsid w:val="00357FC9"/>
    <w:rsid w:val="00360584"/>
    <w:rsid w:val="003605E7"/>
    <w:rsid w:val="0036135D"/>
    <w:rsid w:val="00363684"/>
    <w:rsid w:val="00365A86"/>
    <w:rsid w:val="00365DE7"/>
    <w:rsid w:val="003668CF"/>
    <w:rsid w:val="003672D0"/>
    <w:rsid w:val="003702D9"/>
    <w:rsid w:val="00370A55"/>
    <w:rsid w:val="003731AA"/>
    <w:rsid w:val="00373279"/>
    <w:rsid w:val="0037559F"/>
    <w:rsid w:val="003756AC"/>
    <w:rsid w:val="00375B28"/>
    <w:rsid w:val="0037675E"/>
    <w:rsid w:val="00377503"/>
    <w:rsid w:val="00377E94"/>
    <w:rsid w:val="00381090"/>
    <w:rsid w:val="00381CD7"/>
    <w:rsid w:val="003820AA"/>
    <w:rsid w:val="00384738"/>
    <w:rsid w:val="00385BC3"/>
    <w:rsid w:val="003864F6"/>
    <w:rsid w:val="00387F9B"/>
    <w:rsid w:val="00390E31"/>
    <w:rsid w:val="00391327"/>
    <w:rsid w:val="00391737"/>
    <w:rsid w:val="003917E3"/>
    <w:rsid w:val="00391924"/>
    <w:rsid w:val="003920C6"/>
    <w:rsid w:val="0039344D"/>
    <w:rsid w:val="00393524"/>
    <w:rsid w:val="00393638"/>
    <w:rsid w:val="0039371D"/>
    <w:rsid w:val="00396A04"/>
    <w:rsid w:val="00397570"/>
    <w:rsid w:val="003A2EE4"/>
    <w:rsid w:val="003A3349"/>
    <w:rsid w:val="003A367D"/>
    <w:rsid w:val="003A6443"/>
    <w:rsid w:val="003A6698"/>
    <w:rsid w:val="003A6B0A"/>
    <w:rsid w:val="003A7570"/>
    <w:rsid w:val="003A762E"/>
    <w:rsid w:val="003A7CA2"/>
    <w:rsid w:val="003A7CC0"/>
    <w:rsid w:val="003B02B3"/>
    <w:rsid w:val="003B0C77"/>
    <w:rsid w:val="003B2329"/>
    <w:rsid w:val="003B3A2C"/>
    <w:rsid w:val="003B3F0B"/>
    <w:rsid w:val="003B424D"/>
    <w:rsid w:val="003B5B0F"/>
    <w:rsid w:val="003B68CD"/>
    <w:rsid w:val="003B6E10"/>
    <w:rsid w:val="003B738C"/>
    <w:rsid w:val="003C1670"/>
    <w:rsid w:val="003C19BF"/>
    <w:rsid w:val="003C2E9C"/>
    <w:rsid w:val="003C4D24"/>
    <w:rsid w:val="003C56CF"/>
    <w:rsid w:val="003C581E"/>
    <w:rsid w:val="003C6B82"/>
    <w:rsid w:val="003C6D3A"/>
    <w:rsid w:val="003C7283"/>
    <w:rsid w:val="003D092D"/>
    <w:rsid w:val="003D1C80"/>
    <w:rsid w:val="003D28D6"/>
    <w:rsid w:val="003D37E7"/>
    <w:rsid w:val="003D4A34"/>
    <w:rsid w:val="003D5FE1"/>
    <w:rsid w:val="003D6235"/>
    <w:rsid w:val="003D6F86"/>
    <w:rsid w:val="003E080A"/>
    <w:rsid w:val="003E0917"/>
    <w:rsid w:val="003E15E3"/>
    <w:rsid w:val="003E358F"/>
    <w:rsid w:val="003E36A4"/>
    <w:rsid w:val="003E4037"/>
    <w:rsid w:val="003E5FF2"/>
    <w:rsid w:val="003E69CA"/>
    <w:rsid w:val="003E7FFC"/>
    <w:rsid w:val="003F046A"/>
    <w:rsid w:val="003F10F8"/>
    <w:rsid w:val="003F1F21"/>
    <w:rsid w:val="003F2A4C"/>
    <w:rsid w:val="003F3C75"/>
    <w:rsid w:val="003F4EA4"/>
    <w:rsid w:val="003F5CF6"/>
    <w:rsid w:val="003F6ACA"/>
    <w:rsid w:val="003F7AF4"/>
    <w:rsid w:val="0040003B"/>
    <w:rsid w:val="004005AC"/>
    <w:rsid w:val="004007BE"/>
    <w:rsid w:val="004016B0"/>
    <w:rsid w:val="00402498"/>
    <w:rsid w:val="00402780"/>
    <w:rsid w:val="00402A15"/>
    <w:rsid w:val="00403AA9"/>
    <w:rsid w:val="0040434F"/>
    <w:rsid w:val="004049B7"/>
    <w:rsid w:val="00405F21"/>
    <w:rsid w:val="004064CC"/>
    <w:rsid w:val="00406B07"/>
    <w:rsid w:val="00406CA5"/>
    <w:rsid w:val="00406D57"/>
    <w:rsid w:val="00406FBE"/>
    <w:rsid w:val="0041039C"/>
    <w:rsid w:val="00411A59"/>
    <w:rsid w:val="004138AC"/>
    <w:rsid w:val="00414151"/>
    <w:rsid w:val="004162F1"/>
    <w:rsid w:val="004178E3"/>
    <w:rsid w:val="00417EC6"/>
    <w:rsid w:val="00420ED9"/>
    <w:rsid w:val="0042153C"/>
    <w:rsid w:val="0042197D"/>
    <w:rsid w:val="00421F2F"/>
    <w:rsid w:val="0042241F"/>
    <w:rsid w:val="00422C92"/>
    <w:rsid w:val="00423783"/>
    <w:rsid w:val="004248D9"/>
    <w:rsid w:val="00425383"/>
    <w:rsid w:val="00425D30"/>
    <w:rsid w:val="00426482"/>
    <w:rsid w:val="004265FB"/>
    <w:rsid w:val="004268A6"/>
    <w:rsid w:val="00427CE2"/>
    <w:rsid w:val="00427F3B"/>
    <w:rsid w:val="004323FA"/>
    <w:rsid w:val="0043321C"/>
    <w:rsid w:val="004333BE"/>
    <w:rsid w:val="00433C33"/>
    <w:rsid w:val="00433CAB"/>
    <w:rsid w:val="00434D7D"/>
    <w:rsid w:val="004353EE"/>
    <w:rsid w:val="00435A81"/>
    <w:rsid w:val="00435F83"/>
    <w:rsid w:val="004362A6"/>
    <w:rsid w:val="0043713E"/>
    <w:rsid w:val="00440136"/>
    <w:rsid w:val="004401C4"/>
    <w:rsid w:val="004403B4"/>
    <w:rsid w:val="0044259A"/>
    <w:rsid w:val="00442C77"/>
    <w:rsid w:val="004431F8"/>
    <w:rsid w:val="0044327F"/>
    <w:rsid w:val="0044348E"/>
    <w:rsid w:val="00443FEE"/>
    <w:rsid w:val="00444171"/>
    <w:rsid w:val="00444764"/>
    <w:rsid w:val="004449A8"/>
    <w:rsid w:val="00444A75"/>
    <w:rsid w:val="0044579A"/>
    <w:rsid w:val="0044580A"/>
    <w:rsid w:val="00445A50"/>
    <w:rsid w:val="00446A81"/>
    <w:rsid w:val="00446B21"/>
    <w:rsid w:val="00446C51"/>
    <w:rsid w:val="00446EE6"/>
    <w:rsid w:val="004472F0"/>
    <w:rsid w:val="0044779D"/>
    <w:rsid w:val="00447F60"/>
    <w:rsid w:val="004512E9"/>
    <w:rsid w:val="004516D9"/>
    <w:rsid w:val="004517AE"/>
    <w:rsid w:val="004527D4"/>
    <w:rsid w:val="00454532"/>
    <w:rsid w:val="00454D72"/>
    <w:rsid w:val="0045505A"/>
    <w:rsid w:val="004555DD"/>
    <w:rsid w:val="00455719"/>
    <w:rsid w:val="004561E9"/>
    <w:rsid w:val="004562CD"/>
    <w:rsid w:val="0045656F"/>
    <w:rsid w:val="00456611"/>
    <w:rsid w:val="0046053F"/>
    <w:rsid w:val="00460C6F"/>
    <w:rsid w:val="00460CE3"/>
    <w:rsid w:val="00461DC3"/>
    <w:rsid w:val="0046232C"/>
    <w:rsid w:val="0046279C"/>
    <w:rsid w:val="00462C37"/>
    <w:rsid w:val="00463434"/>
    <w:rsid w:val="00463E98"/>
    <w:rsid w:val="00464AED"/>
    <w:rsid w:val="0046568A"/>
    <w:rsid w:val="00465708"/>
    <w:rsid w:val="00466C8D"/>
    <w:rsid w:val="00471180"/>
    <w:rsid w:val="00471289"/>
    <w:rsid w:val="00471305"/>
    <w:rsid w:val="00472882"/>
    <w:rsid w:val="00472B9B"/>
    <w:rsid w:val="00473382"/>
    <w:rsid w:val="00473DA2"/>
    <w:rsid w:val="00475C30"/>
    <w:rsid w:val="0047623C"/>
    <w:rsid w:val="0047644D"/>
    <w:rsid w:val="0047738F"/>
    <w:rsid w:val="00477DA1"/>
    <w:rsid w:val="004803F0"/>
    <w:rsid w:val="004806BE"/>
    <w:rsid w:val="00481A61"/>
    <w:rsid w:val="00481A82"/>
    <w:rsid w:val="00483E90"/>
    <w:rsid w:val="00484ED0"/>
    <w:rsid w:val="0048584F"/>
    <w:rsid w:val="00486106"/>
    <w:rsid w:val="0048629C"/>
    <w:rsid w:val="00486DF5"/>
    <w:rsid w:val="0049018D"/>
    <w:rsid w:val="0049197C"/>
    <w:rsid w:val="0049278C"/>
    <w:rsid w:val="00492D8F"/>
    <w:rsid w:val="00493464"/>
    <w:rsid w:val="004939DF"/>
    <w:rsid w:val="00494368"/>
    <w:rsid w:val="004953D2"/>
    <w:rsid w:val="0049586B"/>
    <w:rsid w:val="00495918"/>
    <w:rsid w:val="00495B40"/>
    <w:rsid w:val="00495C89"/>
    <w:rsid w:val="00495EFE"/>
    <w:rsid w:val="004968A3"/>
    <w:rsid w:val="00497C5D"/>
    <w:rsid w:val="004A2289"/>
    <w:rsid w:val="004A26E1"/>
    <w:rsid w:val="004A39EE"/>
    <w:rsid w:val="004A4B23"/>
    <w:rsid w:val="004A51ED"/>
    <w:rsid w:val="004A671F"/>
    <w:rsid w:val="004A6AF0"/>
    <w:rsid w:val="004A6FCC"/>
    <w:rsid w:val="004B13DF"/>
    <w:rsid w:val="004B143E"/>
    <w:rsid w:val="004B1759"/>
    <w:rsid w:val="004B1ABD"/>
    <w:rsid w:val="004B1D08"/>
    <w:rsid w:val="004B221D"/>
    <w:rsid w:val="004B23FC"/>
    <w:rsid w:val="004B254E"/>
    <w:rsid w:val="004B3C0A"/>
    <w:rsid w:val="004B3F38"/>
    <w:rsid w:val="004B470E"/>
    <w:rsid w:val="004B5769"/>
    <w:rsid w:val="004B5EB3"/>
    <w:rsid w:val="004B64A6"/>
    <w:rsid w:val="004B7202"/>
    <w:rsid w:val="004B7786"/>
    <w:rsid w:val="004B7CAD"/>
    <w:rsid w:val="004C04EC"/>
    <w:rsid w:val="004C0501"/>
    <w:rsid w:val="004C0503"/>
    <w:rsid w:val="004C07F9"/>
    <w:rsid w:val="004C103A"/>
    <w:rsid w:val="004C1092"/>
    <w:rsid w:val="004C1338"/>
    <w:rsid w:val="004C3164"/>
    <w:rsid w:val="004C4430"/>
    <w:rsid w:val="004C6425"/>
    <w:rsid w:val="004C6E11"/>
    <w:rsid w:val="004C7417"/>
    <w:rsid w:val="004C7B56"/>
    <w:rsid w:val="004D1B68"/>
    <w:rsid w:val="004D1FC0"/>
    <w:rsid w:val="004D203D"/>
    <w:rsid w:val="004D210B"/>
    <w:rsid w:val="004D24D3"/>
    <w:rsid w:val="004D279E"/>
    <w:rsid w:val="004D27EE"/>
    <w:rsid w:val="004D36D8"/>
    <w:rsid w:val="004D499A"/>
    <w:rsid w:val="004D5739"/>
    <w:rsid w:val="004D5BA3"/>
    <w:rsid w:val="004D6ABC"/>
    <w:rsid w:val="004D7B2A"/>
    <w:rsid w:val="004D7EB6"/>
    <w:rsid w:val="004E1034"/>
    <w:rsid w:val="004E1135"/>
    <w:rsid w:val="004E13AF"/>
    <w:rsid w:val="004E23D3"/>
    <w:rsid w:val="004E2CA0"/>
    <w:rsid w:val="004E40FD"/>
    <w:rsid w:val="004E482C"/>
    <w:rsid w:val="004E504C"/>
    <w:rsid w:val="004E789F"/>
    <w:rsid w:val="004F0E4B"/>
    <w:rsid w:val="004F1FFD"/>
    <w:rsid w:val="004F277B"/>
    <w:rsid w:val="004F33BF"/>
    <w:rsid w:val="004F49AA"/>
    <w:rsid w:val="004F4B1E"/>
    <w:rsid w:val="004F5106"/>
    <w:rsid w:val="004F521A"/>
    <w:rsid w:val="004F551E"/>
    <w:rsid w:val="004F5BE8"/>
    <w:rsid w:val="004F621B"/>
    <w:rsid w:val="004F7023"/>
    <w:rsid w:val="004F7299"/>
    <w:rsid w:val="00500499"/>
    <w:rsid w:val="005005B8"/>
    <w:rsid w:val="0050105A"/>
    <w:rsid w:val="0050109F"/>
    <w:rsid w:val="00501C9E"/>
    <w:rsid w:val="00501FD5"/>
    <w:rsid w:val="00503B06"/>
    <w:rsid w:val="00505AF3"/>
    <w:rsid w:val="005066F6"/>
    <w:rsid w:val="005069FB"/>
    <w:rsid w:val="005077EB"/>
    <w:rsid w:val="00511FA0"/>
    <w:rsid w:val="00514418"/>
    <w:rsid w:val="005144FA"/>
    <w:rsid w:val="00514F64"/>
    <w:rsid w:val="00515920"/>
    <w:rsid w:val="00515AD8"/>
    <w:rsid w:val="00515DE0"/>
    <w:rsid w:val="00517CC4"/>
    <w:rsid w:val="00520345"/>
    <w:rsid w:val="00520BE3"/>
    <w:rsid w:val="00522A8B"/>
    <w:rsid w:val="0052375D"/>
    <w:rsid w:val="00523E56"/>
    <w:rsid w:val="0052442F"/>
    <w:rsid w:val="00524BB2"/>
    <w:rsid w:val="005255E3"/>
    <w:rsid w:val="00527866"/>
    <w:rsid w:val="00530AC8"/>
    <w:rsid w:val="0053145E"/>
    <w:rsid w:val="0053190B"/>
    <w:rsid w:val="00532714"/>
    <w:rsid w:val="005338D3"/>
    <w:rsid w:val="00533DD2"/>
    <w:rsid w:val="00533E19"/>
    <w:rsid w:val="00534640"/>
    <w:rsid w:val="0053559E"/>
    <w:rsid w:val="0053566B"/>
    <w:rsid w:val="00536B5C"/>
    <w:rsid w:val="00537B78"/>
    <w:rsid w:val="00540381"/>
    <w:rsid w:val="00542411"/>
    <w:rsid w:val="00542E93"/>
    <w:rsid w:val="00543A0A"/>
    <w:rsid w:val="005444AB"/>
    <w:rsid w:val="00544F9C"/>
    <w:rsid w:val="00546B5F"/>
    <w:rsid w:val="00546B97"/>
    <w:rsid w:val="00547759"/>
    <w:rsid w:val="005514F5"/>
    <w:rsid w:val="00552EB0"/>
    <w:rsid w:val="00554716"/>
    <w:rsid w:val="00554BC9"/>
    <w:rsid w:val="00554DB8"/>
    <w:rsid w:val="005550A3"/>
    <w:rsid w:val="00555D3D"/>
    <w:rsid w:val="00560911"/>
    <w:rsid w:val="00561326"/>
    <w:rsid w:val="00561803"/>
    <w:rsid w:val="00562652"/>
    <w:rsid w:val="00562F5F"/>
    <w:rsid w:val="0056358F"/>
    <w:rsid w:val="005649C0"/>
    <w:rsid w:val="00565752"/>
    <w:rsid w:val="00566969"/>
    <w:rsid w:val="00566D8E"/>
    <w:rsid w:val="00566EBF"/>
    <w:rsid w:val="00571569"/>
    <w:rsid w:val="00572485"/>
    <w:rsid w:val="005742C3"/>
    <w:rsid w:val="0057512C"/>
    <w:rsid w:val="00575541"/>
    <w:rsid w:val="00575BCE"/>
    <w:rsid w:val="00576CD2"/>
    <w:rsid w:val="0057730A"/>
    <w:rsid w:val="005773C8"/>
    <w:rsid w:val="00577402"/>
    <w:rsid w:val="00577623"/>
    <w:rsid w:val="0058155C"/>
    <w:rsid w:val="00581F89"/>
    <w:rsid w:val="00582047"/>
    <w:rsid w:val="0058344A"/>
    <w:rsid w:val="005838B9"/>
    <w:rsid w:val="00583D6C"/>
    <w:rsid w:val="00584436"/>
    <w:rsid w:val="00584568"/>
    <w:rsid w:val="00584B28"/>
    <w:rsid w:val="00584BC8"/>
    <w:rsid w:val="00586890"/>
    <w:rsid w:val="00587807"/>
    <w:rsid w:val="00587CCB"/>
    <w:rsid w:val="00591469"/>
    <w:rsid w:val="005916EA"/>
    <w:rsid w:val="0059238F"/>
    <w:rsid w:val="00592F72"/>
    <w:rsid w:val="00595C2D"/>
    <w:rsid w:val="00595FC5"/>
    <w:rsid w:val="005961A5"/>
    <w:rsid w:val="005966F6"/>
    <w:rsid w:val="00596CE8"/>
    <w:rsid w:val="0059789A"/>
    <w:rsid w:val="00597910"/>
    <w:rsid w:val="005A0008"/>
    <w:rsid w:val="005A133E"/>
    <w:rsid w:val="005A13C5"/>
    <w:rsid w:val="005A165D"/>
    <w:rsid w:val="005A1B09"/>
    <w:rsid w:val="005A1D6C"/>
    <w:rsid w:val="005A2F37"/>
    <w:rsid w:val="005A2FF2"/>
    <w:rsid w:val="005A3C8B"/>
    <w:rsid w:val="005A47ED"/>
    <w:rsid w:val="005A506E"/>
    <w:rsid w:val="005A51AB"/>
    <w:rsid w:val="005A538B"/>
    <w:rsid w:val="005A5A3E"/>
    <w:rsid w:val="005A5D29"/>
    <w:rsid w:val="005A6D86"/>
    <w:rsid w:val="005A6DDF"/>
    <w:rsid w:val="005A7989"/>
    <w:rsid w:val="005B02AB"/>
    <w:rsid w:val="005B17BE"/>
    <w:rsid w:val="005B18ED"/>
    <w:rsid w:val="005B2503"/>
    <w:rsid w:val="005B31F7"/>
    <w:rsid w:val="005B340B"/>
    <w:rsid w:val="005B3992"/>
    <w:rsid w:val="005B58FF"/>
    <w:rsid w:val="005B68C3"/>
    <w:rsid w:val="005B716F"/>
    <w:rsid w:val="005C055D"/>
    <w:rsid w:val="005C204E"/>
    <w:rsid w:val="005C22D6"/>
    <w:rsid w:val="005C2F53"/>
    <w:rsid w:val="005C5DD4"/>
    <w:rsid w:val="005C6F65"/>
    <w:rsid w:val="005C7850"/>
    <w:rsid w:val="005C7E0F"/>
    <w:rsid w:val="005D0029"/>
    <w:rsid w:val="005D05C7"/>
    <w:rsid w:val="005D33F6"/>
    <w:rsid w:val="005D3847"/>
    <w:rsid w:val="005D4320"/>
    <w:rsid w:val="005D4B0F"/>
    <w:rsid w:val="005D4F6E"/>
    <w:rsid w:val="005D519D"/>
    <w:rsid w:val="005D66B3"/>
    <w:rsid w:val="005D6B6E"/>
    <w:rsid w:val="005E0533"/>
    <w:rsid w:val="005E24DC"/>
    <w:rsid w:val="005E28B9"/>
    <w:rsid w:val="005E318B"/>
    <w:rsid w:val="005E34BD"/>
    <w:rsid w:val="005E4134"/>
    <w:rsid w:val="005E494D"/>
    <w:rsid w:val="005E4ECC"/>
    <w:rsid w:val="005E4FE2"/>
    <w:rsid w:val="005E5135"/>
    <w:rsid w:val="005E5D1A"/>
    <w:rsid w:val="005E662E"/>
    <w:rsid w:val="005E6BD7"/>
    <w:rsid w:val="005E71B7"/>
    <w:rsid w:val="005E7C62"/>
    <w:rsid w:val="005F0653"/>
    <w:rsid w:val="005F0A89"/>
    <w:rsid w:val="005F0EF5"/>
    <w:rsid w:val="005F11AE"/>
    <w:rsid w:val="005F27A0"/>
    <w:rsid w:val="005F2815"/>
    <w:rsid w:val="005F281E"/>
    <w:rsid w:val="005F3CF4"/>
    <w:rsid w:val="005F4588"/>
    <w:rsid w:val="005F4E85"/>
    <w:rsid w:val="005F5D27"/>
    <w:rsid w:val="005F6E40"/>
    <w:rsid w:val="005F7B8F"/>
    <w:rsid w:val="00601870"/>
    <w:rsid w:val="00601913"/>
    <w:rsid w:val="00601E2B"/>
    <w:rsid w:val="00603CE7"/>
    <w:rsid w:val="0060421A"/>
    <w:rsid w:val="00605D42"/>
    <w:rsid w:val="00605FAA"/>
    <w:rsid w:val="00607D01"/>
    <w:rsid w:val="006104FD"/>
    <w:rsid w:val="00611340"/>
    <w:rsid w:val="00611644"/>
    <w:rsid w:val="0061330D"/>
    <w:rsid w:val="00613D99"/>
    <w:rsid w:val="0061470A"/>
    <w:rsid w:val="00614728"/>
    <w:rsid w:val="0061495F"/>
    <w:rsid w:val="00614DB1"/>
    <w:rsid w:val="00614EB1"/>
    <w:rsid w:val="006153DE"/>
    <w:rsid w:val="00615AA1"/>
    <w:rsid w:val="00615F5E"/>
    <w:rsid w:val="00615FE9"/>
    <w:rsid w:val="006161B1"/>
    <w:rsid w:val="00616B0F"/>
    <w:rsid w:val="0061719B"/>
    <w:rsid w:val="00617399"/>
    <w:rsid w:val="006174FC"/>
    <w:rsid w:val="00617FB9"/>
    <w:rsid w:val="0062007D"/>
    <w:rsid w:val="00621127"/>
    <w:rsid w:val="0062348A"/>
    <w:rsid w:val="006234A3"/>
    <w:rsid w:val="006235C1"/>
    <w:rsid w:val="00623B34"/>
    <w:rsid w:val="006241EF"/>
    <w:rsid w:val="00624E3D"/>
    <w:rsid w:val="006256AB"/>
    <w:rsid w:val="006259CC"/>
    <w:rsid w:val="006260F1"/>
    <w:rsid w:val="0062611E"/>
    <w:rsid w:val="00626146"/>
    <w:rsid w:val="0063043F"/>
    <w:rsid w:val="0063053C"/>
    <w:rsid w:val="00630829"/>
    <w:rsid w:val="006308CD"/>
    <w:rsid w:val="00631116"/>
    <w:rsid w:val="006314DE"/>
    <w:rsid w:val="00634795"/>
    <w:rsid w:val="00634816"/>
    <w:rsid w:val="00634CC1"/>
    <w:rsid w:val="00635197"/>
    <w:rsid w:val="0063636E"/>
    <w:rsid w:val="006363AA"/>
    <w:rsid w:val="0063661B"/>
    <w:rsid w:val="0063758C"/>
    <w:rsid w:val="00637985"/>
    <w:rsid w:val="00637E06"/>
    <w:rsid w:val="006402CF"/>
    <w:rsid w:val="00641882"/>
    <w:rsid w:val="00641EE8"/>
    <w:rsid w:val="00642FB2"/>
    <w:rsid w:val="00643DFD"/>
    <w:rsid w:val="0064474A"/>
    <w:rsid w:val="006449AD"/>
    <w:rsid w:val="00644A56"/>
    <w:rsid w:val="00644DAA"/>
    <w:rsid w:val="00645209"/>
    <w:rsid w:val="00646267"/>
    <w:rsid w:val="00646339"/>
    <w:rsid w:val="00646797"/>
    <w:rsid w:val="006467F1"/>
    <w:rsid w:val="00646A8A"/>
    <w:rsid w:val="00647401"/>
    <w:rsid w:val="0064777F"/>
    <w:rsid w:val="00647931"/>
    <w:rsid w:val="00650169"/>
    <w:rsid w:val="00651C0D"/>
    <w:rsid w:val="00652918"/>
    <w:rsid w:val="00652E1B"/>
    <w:rsid w:val="00652E45"/>
    <w:rsid w:val="00653F32"/>
    <w:rsid w:val="006555A7"/>
    <w:rsid w:val="006556FA"/>
    <w:rsid w:val="00655716"/>
    <w:rsid w:val="00656BD4"/>
    <w:rsid w:val="00657250"/>
    <w:rsid w:val="00657BA9"/>
    <w:rsid w:val="006600DC"/>
    <w:rsid w:val="006603FE"/>
    <w:rsid w:val="00660605"/>
    <w:rsid w:val="00660C72"/>
    <w:rsid w:val="006622B7"/>
    <w:rsid w:val="0066249C"/>
    <w:rsid w:val="00662DE7"/>
    <w:rsid w:val="00662E0D"/>
    <w:rsid w:val="0066383C"/>
    <w:rsid w:val="0066428B"/>
    <w:rsid w:val="00664C4E"/>
    <w:rsid w:val="00665037"/>
    <w:rsid w:val="00665BFE"/>
    <w:rsid w:val="00666592"/>
    <w:rsid w:val="006668A3"/>
    <w:rsid w:val="00670C79"/>
    <w:rsid w:val="00670DA7"/>
    <w:rsid w:val="00671536"/>
    <w:rsid w:val="006725F2"/>
    <w:rsid w:val="00672644"/>
    <w:rsid w:val="006727A4"/>
    <w:rsid w:val="0067280E"/>
    <w:rsid w:val="0067373F"/>
    <w:rsid w:val="006737CE"/>
    <w:rsid w:val="00674168"/>
    <w:rsid w:val="00674197"/>
    <w:rsid w:val="00674D58"/>
    <w:rsid w:val="00674E7A"/>
    <w:rsid w:val="0067569B"/>
    <w:rsid w:val="0067605E"/>
    <w:rsid w:val="006775B2"/>
    <w:rsid w:val="00677684"/>
    <w:rsid w:val="00677B92"/>
    <w:rsid w:val="00680184"/>
    <w:rsid w:val="00680196"/>
    <w:rsid w:val="006801F0"/>
    <w:rsid w:val="006803EA"/>
    <w:rsid w:val="006813E4"/>
    <w:rsid w:val="006829EC"/>
    <w:rsid w:val="00683D39"/>
    <w:rsid w:val="00684125"/>
    <w:rsid w:val="00685826"/>
    <w:rsid w:val="006865F5"/>
    <w:rsid w:val="00687A8C"/>
    <w:rsid w:val="0069108A"/>
    <w:rsid w:val="006911F8"/>
    <w:rsid w:val="00691317"/>
    <w:rsid w:val="00693450"/>
    <w:rsid w:val="00695912"/>
    <w:rsid w:val="00696435"/>
    <w:rsid w:val="006964C3"/>
    <w:rsid w:val="00697C9C"/>
    <w:rsid w:val="006A05F8"/>
    <w:rsid w:val="006A36C9"/>
    <w:rsid w:val="006A3700"/>
    <w:rsid w:val="006A53C9"/>
    <w:rsid w:val="006A5AF6"/>
    <w:rsid w:val="006B0230"/>
    <w:rsid w:val="006B04D8"/>
    <w:rsid w:val="006B075E"/>
    <w:rsid w:val="006B0F3D"/>
    <w:rsid w:val="006B135C"/>
    <w:rsid w:val="006B328A"/>
    <w:rsid w:val="006B45F3"/>
    <w:rsid w:val="006B54DB"/>
    <w:rsid w:val="006B62C0"/>
    <w:rsid w:val="006B6F0F"/>
    <w:rsid w:val="006B6F69"/>
    <w:rsid w:val="006C0196"/>
    <w:rsid w:val="006C1EBB"/>
    <w:rsid w:val="006C28DB"/>
    <w:rsid w:val="006C2B0F"/>
    <w:rsid w:val="006C3986"/>
    <w:rsid w:val="006C4F78"/>
    <w:rsid w:val="006C63AE"/>
    <w:rsid w:val="006C63C2"/>
    <w:rsid w:val="006C711B"/>
    <w:rsid w:val="006C7EEB"/>
    <w:rsid w:val="006C7FD9"/>
    <w:rsid w:val="006D07D6"/>
    <w:rsid w:val="006D09F8"/>
    <w:rsid w:val="006D183E"/>
    <w:rsid w:val="006D2138"/>
    <w:rsid w:val="006D2F56"/>
    <w:rsid w:val="006D37D0"/>
    <w:rsid w:val="006D46B5"/>
    <w:rsid w:val="006D52AD"/>
    <w:rsid w:val="006D61A0"/>
    <w:rsid w:val="006E1DDD"/>
    <w:rsid w:val="006E2424"/>
    <w:rsid w:val="006E2BA1"/>
    <w:rsid w:val="006E48E4"/>
    <w:rsid w:val="006E4FBF"/>
    <w:rsid w:val="006E6287"/>
    <w:rsid w:val="006E718D"/>
    <w:rsid w:val="006E7945"/>
    <w:rsid w:val="006E7BC3"/>
    <w:rsid w:val="006E7C08"/>
    <w:rsid w:val="006E7FCB"/>
    <w:rsid w:val="006F1F12"/>
    <w:rsid w:val="006F28C3"/>
    <w:rsid w:val="006F2A8A"/>
    <w:rsid w:val="006F2F9D"/>
    <w:rsid w:val="006F350D"/>
    <w:rsid w:val="006F3F80"/>
    <w:rsid w:val="006F4543"/>
    <w:rsid w:val="006F4B96"/>
    <w:rsid w:val="006F57C0"/>
    <w:rsid w:val="006F66B1"/>
    <w:rsid w:val="006F72EC"/>
    <w:rsid w:val="006F7D98"/>
    <w:rsid w:val="0070042E"/>
    <w:rsid w:val="0070140C"/>
    <w:rsid w:val="007023EC"/>
    <w:rsid w:val="00703182"/>
    <w:rsid w:val="007050B8"/>
    <w:rsid w:val="00705208"/>
    <w:rsid w:val="0070523D"/>
    <w:rsid w:val="00705555"/>
    <w:rsid w:val="00705F15"/>
    <w:rsid w:val="00707145"/>
    <w:rsid w:val="00707949"/>
    <w:rsid w:val="00707EBE"/>
    <w:rsid w:val="0071097E"/>
    <w:rsid w:val="007118D7"/>
    <w:rsid w:val="00712405"/>
    <w:rsid w:val="00712EA4"/>
    <w:rsid w:val="0071347F"/>
    <w:rsid w:val="00713515"/>
    <w:rsid w:val="00714BF0"/>
    <w:rsid w:val="0071586E"/>
    <w:rsid w:val="00720217"/>
    <w:rsid w:val="00721E13"/>
    <w:rsid w:val="00721F71"/>
    <w:rsid w:val="00722121"/>
    <w:rsid w:val="00722D80"/>
    <w:rsid w:val="00723783"/>
    <w:rsid w:val="00723AC4"/>
    <w:rsid w:val="00723BA7"/>
    <w:rsid w:val="00723E83"/>
    <w:rsid w:val="0072479B"/>
    <w:rsid w:val="00724EF9"/>
    <w:rsid w:val="0072598F"/>
    <w:rsid w:val="00725A79"/>
    <w:rsid w:val="007263F0"/>
    <w:rsid w:val="00726A7A"/>
    <w:rsid w:val="00726D70"/>
    <w:rsid w:val="00727464"/>
    <w:rsid w:val="0072781D"/>
    <w:rsid w:val="00727AF1"/>
    <w:rsid w:val="00727BB5"/>
    <w:rsid w:val="00727CFE"/>
    <w:rsid w:val="00727F76"/>
    <w:rsid w:val="00730AD6"/>
    <w:rsid w:val="007314E7"/>
    <w:rsid w:val="00735154"/>
    <w:rsid w:val="00735872"/>
    <w:rsid w:val="007359E9"/>
    <w:rsid w:val="00736318"/>
    <w:rsid w:val="007366A3"/>
    <w:rsid w:val="00737B47"/>
    <w:rsid w:val="00741AA7"/>
    <w:rsid w:val="00742BEF"/>
    <w:rsid w:val="00742DDF"/>
    <w:rsid w:val="00743134"/>
    <w:rsid w:val="0074315A"/>
    <w:rsid w:val="00743BFD"/>
    <w:rsid w:val="007446A7"/>
    <w:rsid w:val="00744842"/>
    <w:rsid w:val="00744B13"/>
    <w:rsid w:val="00746806"/>
    <w:rsid w:val="007470C2"/>
    <w:rsid w:val="007478F2"/>
    <w:rsid w:val="00750E72"/>
    <w:rsid w:val="00750FD1"/>
    <w:rsid w:val="00751394"/>
    <w:rsid w:val="00752B06"/>
    <w:rsid w:val="00754E59"/>
    <w:rsid w:val="00754FD2"/>
    <w:rsid w:val="00755107"/>
    <w:rsid w:val="007578D3"/>
    <w:rsid w:val="00757D81"/>
    <w:rsid w:val="00757DD1"/>
    <w:rsid w:val="00757F29"/>
    <w:rsid w:val="007600AE"/>
    <w:rsid w:val="00760101"/>
    <w:rsid w:val="0076089A"/>
    <w:rsid w:val="0076096E"/>
    <w:rsid w:val="00760C9F"/>
    <w:rsid w:val="007619D0"/>
    <w:rsid w:val="0076289B"/>
    <w:rsid w:val="0076389C"/>
    <w:rsid w:val="00763CC1"/>
    <w:rsid w:val="007640CC"/>
    <w:rsid w:val="007642C7"/>
    <w:rsid w:val="00764475"/>
    <w:rsid w:val="007644B2"/>
    <w:rsid w:val="00764804"/>
    <w:rsid w:val="00765158"/>
    <w:rsid w:val="007658DF"/>
    <w:rsid w:val="0076640B"/>
    <w:rsid w:val="007678A9"/>
    <w:rsid w:val="00767EE4"/>
    <w:rsid w:val="00770639"/>
    <w:rsid w:val="00770E01"/>
    <w:rsid w:val="00771678"/>
    <w:rsid w:val="00771F93"/>
    <w:rsid w:val="00772DC2"/>
    <w:rsid w:val="00774611"/>
    <w:rsid w:val="00774A17"/>
    <w:rsid w:val="0077582F"/>
    <w:rsid w:val="00775875"/>
    <w:rsid w:val="00780BA7"/>
    <w:rsid w:val="0078437B"/>
    <w:rsid w:val="00784848"/>
    <w:rsid w:val="00784A78"/>
    <w:rsid w:val="00784C56"/>
    <w:rsid w:val="00785492"/>
    <w:rsid w:val="007856E2"/>
    <w:rsid w:val="00785D3B"/>
    <w:rsid w:val="00786699"/>
    <w:rsid w:val="007872E4"/>
    <w:rsid w:val="00787457"/>
    <w:rsid w:val="00787A65"/>
    <w:rsid w:val="007911FC"/>
    <w:rsid w:val="007912A9"/>
    <w:rsid w:val="007912E8"/>
    <w:rsid w:val="007928CE"/>
    <w:rsid w:val="00793B14"/>
    <w:rsid w:val="007949E0"/>
    <w:rsid w:val="00794B4D"/>
    <w:rsid w:val="00794CB0"/>
    <w:rsid w:val="0079500E"/>
    <w:rsid w:val="00795327"/>
    <w:rsid w:val="00795ECB"/>
    <w:rsid w:val="00797A35"/>
    <w:rsid w:val="007A0778"/>
    <w:rsid w:val="007A092D"/>
    <w:rsid w:val="007A163F"/>
    <w:rsid w:val="007A20D4"/>
    <w:rsid w:val="007A20E4"/>
    <w:rsid w:val="007A28A7"/>
    <w:rsid w:val="007A294C"/>
    <w:rsid w:val="007A355E"/>
    <w:rsid w:val="007A38DD"/>
    <w:rsid w:val="007A4087"/>
    <w:rsid w:val="007A506B"/>
    <w:rsid w:val="007A50A9"/>
    <w:rsid w:val="007A5914"/>
    <w:rsid w:val="007A59A8"/>
    <w:rsid w:val="007A5DF7"/>
    <w:rsid w:val="007A73B1"/>
    <w:rsid w:val="007B01AE"/>
    <w:rsid w:val="007B37F8"/>
    <w:rsid w:val="007B5C1D"/>
    <w:rsid w:val="007B66A7"/>
    <w:rsid w:val="007C16BF"/>
    <w:rsid w:val="007C358C"/>
    <w:rsid w:val="007C391F"/>
    <w:rsid w:val="007C3CB1"/>
    <w:rsid w:val="007C3E28"/>
    <w:rsid w:val="007C620B"/>
    <w:rsid w:val="007C7912"/>
    <w:rsid w:val="007D1260"/>
    <w:rsid w:val="007D1532"/>
    <w:rsid w:val="007D26F6"/>
    <w:rsid w:val="007D383B"/>
    <w:rsid w:val="007D531A"/>
    <w:rsid w:val="007D59C7"/>
    <w:rsid w:val="007D5B0F"/>
    <w:rsid w:val="007D6883"/>
    <w:rsid w:val="007D6BE6"/>
    <w:rsid w:val="007D7036"/>
    <w:rsid w:val="007E1EA1"/>
    <w:rsid w:val="007E2B3E"/>
    <w:rsid w:val="007E2F46"/>
    <w:rsid w:val="007E315C"/>
    <w:rsid w:val="007E356F"/>
    <w:rsid w:val="007E3628"/>
    <w:rsid w:val="007E3C6D"/>
    <w:rsid w:val="007E5847"/>
    <w:rsid w:val="007E6689"/>
    <w:rsid w:val="007E6908"/>
    <w:rsid w:val="007E6A45"/>
    <w:rsid w:val="007E6D8E"/>
    <w:rsid w:val="007E7000"/>
    <w:rsid w:val="007F14F5"/>
    <w:rsid w:val="007F2290"/>
    <w:rsid w:val="007F5167"/>
    <w:rsid w:val="007F5666"/>
    <w:rsid w:val="007F656B"/>
    <w:rsid w:val="007F6D48"/>
    <w:rsid w:val="007F7226"/>
    <w:rsid w:val="007F7F61"/>
    <w:rsid w:val="0080159B"/>
    <w:rsid w:val="00801F63"/>
    <w:rsid w:val="008041B9"/>
    <w:rsid w:val="008042E9"/>
    <w:rsid w:val="0080435E"/>
    <w:rsid w:val="00804574"/>
    <w:rsid w:val="00804AE0"/>
    <w:rsid w:val="00805594"/>
    <w:rsid w:val="00806547"/>
    <w:rsid w:val="00806A0E"/>
    <w:rsid w:val="0080788F"/>
    <w:rsid w:val="00810336"/>
    <w:rsid w:val="00811D6C"/>
    <w:rsid w:val="00812587"/>
    <w:rsid w:val="00812CEF"/>
    <w:rsid w:val="00812D44"/>
    <w:rsid w:val="00812F1A"/>
    <w:rsid w:val="00814392"/>
    <w:rsid w:val="008147DC"/>
    <w:rsid w:val="00814EAB"/>
    <w:rsid w:val="00816500"/>
    <w:rsid w:val="0081659C"/>
    <w:rsid w:val="008174AD"/>
    <w:rsid w:val="0081790A"/>
    <w:rsid w:val="00820027"/>
    <w:rsid w:val="008208E1"/>
    <w:rsid w:val="00820EC8"/>
    <w:rsid w:val="00821135"/>
    <w:rsid w:val="00821A2E"/>
    <w:rsid w:val="00821E21"/>
    <w:rsid w:val="008228C9"/>
    <w:rsid w:val="00822951"/>
    <w:rsid w:val="00823B75"/>
    <w:rsid w:val="00823B92"/>
    <w:rsid w:val="00824F0E"/>
    <w:rsid w:val="008259E4"/>
    <w:rsid w:val="008265CD"/>
    <w:rsid w:val="00826EED"/>
    <w:rsid w:val="00827D34"/>
    <w:rsid w:val="00830CBA"/>
    <w:rsid w:val="00831008"/>
    <w:rsid w:val="008311B3"/>
    <w:rsid w:val="00831BEC"/>
    <w:rsid w:val="008322B5"/>
    <w:rsid w:val="008324CD"/>
    <w:rsid w:val="0083262C"/>
    <w:rsid w:val="00833990"/>
    <w:rsid w:val="008339F9"/>
    <w:rsid w:val="00833A62"/>
    <w:rsid w:val="00833F5C"/>
    <w:rsid w:val="00834D8E"/>
    <w:rsid w:val="008358B7"/>
    <w:rsid w:val="008362C1"/>
    <w:rsid w:val="0083699F"/>
    <w:rsid w:val="00837BAB"/>
    <w:rsid w:val="00841C36"/>
    <w:rsid w:val="00842242"/>
    <w:rsid w:val="00842393"/>
    <w:rsid w:val="00842C68"/>
    <w:rsid w:val="00842DDA"/>
    <w:rsid w:val="008431C2"/>
    <w:rsid w:val="00843606"/>
    <w:rsid w:val="008438F3"/>
    <w:rsid w:val="00843E24"/>
    <w:rsid w:val="008441CD"/>
    <w:rsid w:val="00844327"/>
    <w:rsid w:val="0084634B"/>
    <w:rsid w:val="0084657A"/>
    <w:rsid w:val="008474DA"/>
    <w:rsid w:val="00847E26"/>
    <w:rsid w:val="00847EA6"/>
    <w:rsid w:val="00850946"/>
    <w:rsid w:val="008532C2"/>
    <w:rsid w:val="00853E2B"/>
    <w:rsid w:val="00854625"/>
    <w:rsid w:val="00854FFC"/>
    <w:rsid w:val="00856FA3"/>
    <w:rsid w:val="00857F6E"/>
    <w:rsid w:val="00860737"/>
    <w:rsid w:val="00861374"/>
    <w:rsid w:val="008619CE"/>
    <w:rsid w:val="00862B66"/>
    <w:rsid w:val="008657A7"/>
    <w:rsid w:val="008665C2"/>
    <w:rsid w:val="00866F13"/>
    <w:rsid w:val="008674DA"/>
    <w:rsid w:val="00867708"/>
    <w:rsid w:val="00867864"/>
    <w:rsid w:val="008705E3"/>
    <w:rsid w:val="00870635"/>
    <w:rsid w:val="00871F52"/>
    <w:rsid w:val="0087248D"/>
    <w:rsid w:val="00872676"/>
    <w:rsid w:val="0087274A"/>
    <w:rsid w:val="00873608"/>
    <w:rsid w:val="00873E3D"/>
    <w:rsid w:val="0087453D"/>
    <w:rsid w:val="008752C0"/>
    <w:rsid w:val="00875BCB"/>
    <w:rsid w:val="00875DF2"/>
    <w:rsid w:val="00876521"/>
    <w:rsid w:val="00877BF0"/>
    <w:rsid w:val="00877C12"/>
    <w:rsid w:val="00880A39"/>
    <w:rsid w:val="00880D07"/>
    <w:rsid w:val="00880EF8"/>
    <w:rsid w:val="00881537"/>
    <w:rsid w:val="00881A91"/>
    <w:rsid w:val="0088227D"/>
    <w:rsid w:val="00882911"/>
    <w:rsid w:val="00883375"/>
    <w:rsid w:val="008835D9"/>
    <w:rsid w:val="008838DB"/>
    <w:rsid w:val="00883FA8"/>
    <w:rsid w:val="00884238"/>
    <w:rsid w:val="0088464D"/>
    <w:rsid w:val="0088543C"/>
    <w:rsid w:val="0088623E"/>
    <w:rsid w:val="00890675"/>
    <w:rsid w:val="0089074E"/>
    <w:rsid w:val="008909E5"/>
    <w:rsid w:val="00890D08"/>
    <w:rsid w:val="008912AB"/>
    <w:rsid w:val="00894A0A"/>
    <w:rsid w:val="00894B05"/>
    <w:rsid w:val="008955BC"/>
    <w:rsid w:val="008956AE"/>
    <w:rsid w:val="008965DD"/>
    <w:rsid w:val="008967DA"/>
    <w:rsid w:val="00897410"/>
    <w:rsid w:val="008975E9"/>
    <w:rsid w:val="008A0DB7"/>
    <w:rsid w:val="008A1CD6"/>
    <w:rsid w:val="008A209C"/>
    <w:rsid w:val="008A2683"/>
    <w:rsid w:val="008A2707"/>
    <w:rsid w:val="008A2CEF"/>
    <w:rsid w:val="008A3B9E"/>
    <w:rsid w:val="008A3EC9"/>
    <w:rsid w:val="008A44AD"/>
    <w:rsid w:val="008A45B5"/>
    <w:rsid w:val="008A4B30"/>
    <w:rsid w:val="008A5644"/>
    <w:rsid w:val="008A5995"/>
    <w:rsid w:val="008A5F88"/>
    <w:rsid w:val="008A6377"/>
    <w:rsid w:val="008A68D6"/>
    <w:rsid w:val="008B186A"/>
    <w:rsid w:val="008B1F1D"/>
    <w:rsid w:val="008B2AA3"/>
    <w:rsid w:val="008B33C1"/>
    <w:rsid w:val="008B4CE6"/>
    <w:rsid w:val="008B4F8B"/>
    <w:rsid w:val="008B5105"/>
    <w:rsid w:val="008B707D"/>
    <w:rsid w:val="008B7A75"/>
    <w:rsid w:val="008C1038"/>
    <w:rsid w:val="008C1263"/>
    <w:rsid w:val="008C1811"/>
    <w:rsid w:val="008C2520"/>
    <w:rsid w:val="008C2535"/>
    <w:rsid w:val="008C2751"/>
    <w:rsid w:val="008C3FE1"/>
    <w:rsid w:val="008C471E"/>
    <w:rsid w:val="008C56D7"/>
    <w:rsid w:val="008C6322"/>
    <w:rsid w:val="008C64DE"/>
    <w:rsid w:val="008C7047"/>
    <w:rsid w:val="008C74DC"/>
    <w:rsid w:val="008C7BB8"/>
    <w:rsid w:val="008D050C"/>
    <w:rsid w:val="008D0751"/>
    <w:rsid w:val="008D132E"/>
    <w:rsid w:val="008D14E9"/>
    <w:rsid w:val="008D1E3E"/>
    <w:rsid w:val="008D3085"/>
    <w:rsid w:val="008D3952"/>
    <w:rsid w:val="008D498E"/>
    <w:rsid w:val="008D4B12"/>
    <w:rsid w:val="008D659A"/>
    <w:rsid w:val="008D68CE"/>
    <w:rsid w:val="008D72AA"/>
    <w:rsid w:val="008D7CE1"/>
    <w:rsid w:val="008E0318"/>
    <w:rsid w:val="008E14AF"/>
    <w:rsid w:val="008E1534"/>
    <w:rsid w:val="008E19E6"/>
    <w:rsid w:val="008E1A9D"/>
    <w:rsid w:val="008E1D00"/>
    <w:rsid w:val="008E30C7"/>
    <w:rsid w:val="008E3D03"/>
    <w:rsid w:val="008E3E19"/>
    <w:rsid w:val="008E43D1"/>
    <w:rsid w:val="008E48D1"/>
    <w:rsid w:val="008E534F"/>
    <w:rsid w:val="008E56F8"/>
    <w:rsid w:val="008E5DAF"/>
    <w:rsid w:val="008E61EE"/>
    <w:rsid w:val="008E64CB"/>
    <w:rsid w:val="008F06E5"/>
    <w:rsid w:val="008F10EF"/>
    <w:rsid w:val="008F160B"/>
    <w:rsid w:val="008F26CC"/>
    <w:rsid w:val="008F29CC"/>
    <w:rsid w:val="008F2D62"/>
    <w:rsid w:val="008F32CD"/>
    <w:rsid w:val="008F3303"/>
    <w:rsid w:val="008F35A0"/>
    <w:rsid w:val="008F3DD6"/>
    <w:rsid w:val="008F41E3"/>
    <w:rsid w:val="008F451A"/>
    <w:rsid w:val="008F4914"/>
    <w:rsid w:val="008F4CC8"/>
    <w:rsid w:val="008F6907"/>
    <w:rsid w:val="008F6E8D"/>
    <w:rsid w:val="008F7D4B"/>
    <w:rsid w:val="00900308"/>
    <w:rsid w:val="009009A6"/>
    <w:rsid w:val="00901A7B"/>
    <w:rsid w:val="00901CF3"/>
    <w:rsid w:val="0090277D"/>
    <w:rsid w:val="00902FF3"/>
    <w:rsid w:val="0090324F"/>
    <w:rsid w:val="0090418B"/>
    <w:rsid w:val="00904F8A"/>
    <w:rsid w:val="009051BB"/>
    <w:rsid w:val="00905E05"/>
    <w:rsid w:val="009064F7"/>
    <w:rsid w:val="00906B05"/>
    <w:rsid w:val="009079AE"/>
    <w:rsid w:val="00907A27"/>
    <w:rsid w:val="00907A95"/>
    <w:rsid w:val="00907AEA"/>
    <w:rsid w:val="00910134"/>
    <w:rsid w:val="00911221"/>
    <w:rsid w:val="00911BC0"/>
    <w:rsid w:val="009135AA"/>
    <w:rsid w:val="0091403A"/>
    <w:rsid w:val="00915DA8"/>
    <w:rsid w:val="0091660B"/>
    <w:rsid w:val="00916869"/>
    <w:rsid w:val="00916B41"/>
    <w:rsid w:val="009176B0"/>
    <w:rsid w:val="0092117E"/>
    <w:rsid w:val="00921D46"/>
    <w:rsid w:val="0092232B"/>
    <w:rsid w:val="00922383"/>
    <w:rsid w:val="00922398"/>
    <w:rsid w:val="0092254F"/>
    <w:rsid w:val="00922566"/>
    <w:rsid w:val="00922B92"/>
    <w:rsid w:val="00922F13"/>
    <w:rsid w:val="00923977"/>
    <w:rsid w:val="00923B3E"/>
    <w:rsid w:val="009240BF"/>
    <w:rsid w:val="0092665F"/>
    <w:rsid w:val="00926ABC"/>
    <w:rsid w:val="009276B0"/>
    <w:rsid w:val="00931AF0"/>
    <w:rsid w:val="00934E10"/>
    <w:rsid w:val="009350AB"/>
    <w:rsid w:val="009359F1"/>
    <w:rsid w:val="00935C77"/>
    <w:rsid w:val="00935D53"/>
    <w:rsid w:val="00936CC4"/>
    <w:rsid w:val="00936FB5"/>
    <w:rsid w:val="00937743"/>
    <w:rsid w:val="009377E2"/>
    <w:rsid w:val="009379D4"/>
    <w:rsid w:val="009404CF"/>
    <w:rsid w:val="0094245C"/>
    <w:rsid w:val="00943036"/>
    <w:rsid w:val="00943652"/>
    <w:rsid w:val="00943D25"/>
    <w:rsid w:val="00944ABA"/>
    <w:rsid w:val="00945D98"/>
    <w:rsid w:val="00946BE7"/>
    <w:rsid w:val="00947EA6"/>
    <w:rsid w:val="00951655"/>
    <w:rsid w:val="00953180"/>
    <w:rsid w:val="00954311"/>
    <w:rsid w:val="0095587D"/>
    <w:rsid w:val="00956192"/>
    <w:rsid w:val="009561EC"/>
    <w:rsid w:val="00960D33"/>
    <w:rsid w:val="009611F0"/>
    <w:rsid w:val="00965DE3"/>
    <w:rsid w:val="009664FB"/>
    <w:rsid w:val="0096680B"/>
    <w:rsid w:val="0096697E"/>
    <w:rsid w:val="00966D02"/>
    <w:rsid w:val="0096752A"/>
    <w:rsid w:val="009678EA"/>
    <w:rsid w:val="00970161"/>
    <w:rsid w:val="0097156C"/>
    <w:rsid w:val="00971848"/>
    <w:rsid w:val="00972192"/>
    <w:rsid w:val="0097228C"/>
    <w:rsid w:val="00973701"/>
    <w:rsid w:val="00973B5C"/>
    <w:rsid w:val="00973DEE"/>
    <w:rsid w:val="009740E4"/>
    <w:rsid w:val="00975D7D"/>
    <w:rsid w:val="00976437"/>
    <w:rsid w:val="00976515"/>
    <w:rsid w:val="00980148"/>
    <w:rsid w:val="00980800"/>
    <w:rsid w:val="009817E8"/>
    <w:rsid w:val="00981BEB"/>
    <w:rsid w:val="00981C86"/>
    <w:rsid w:val="00982B31"/>
    <w:rsid w:val="00982B95"/>
    <w:rsid w:val="009833F1"/>
    <w:rsid w:val="00983417"/>
    <w:rsid w:val="0098372E"/>
    <w:rsid w:val="00983CAC"/>
    <w:rsid w:val="009848B2"/>
    <w:rsid w:val="00985AB5"/>
    <w:rsid w:val="00987220"/>
    <w:rsid w:val="00987A22"/>
    <w:rsid w:val="00990092"/>
    <w:rsid w:val="00990429"/>
    <w:rsid w:val="00990B18"/>
    <w:rsid w:val="00991555"/>
    <w:rsid w:val="0099270C"/>
    <w:rsid w:val="00992E15"/>
    <w:rsid w:val="0099350E"/>
    <w:rsid w:val="00996877"/>
    <w:rsid w:val="00996CB3"/>
    <w:rsid w:val="00996E8E"/>
    <w:rsid w:val="009A06A1"/>
    <w:rsid w:val="009A3DA2"/>
    <w:rsid w:val="009A665B"/>
    <w:rsid w:val="009A6CC6"/>
    <w:rsid w:val="009A76F9"/>
    <w:rsid w:val="009A7B1C"/>
    <w:rsid w:val="009A7D3D"/>
    <w:rsid w:val="009B1C1B"/>
    <w:rsid w:val="009B23EA"/>
    <w:rsid w:val="009B3290"/>
    <w:rsid w:val="009B34A7"/>
    <w:rsid w:val="009B3727"/>
    <w:rsid w:val="009B381E"/>
    <w:rsid w:val="009B6F4C"/>
    <w:rsid w:val="009B71DC"/>
    <w:rsid w:val="009C05D3"/>
    <w:rsid w:val="009C0A59"/>
    <w:rsid w:val="009C0E8E"/>
    <w:rsid w:val="009C238D"/>
    <w:rsid w:val="009C25D9"/>
    <w:rsid w:val="009C2752"/>
    <w:rsid w:val="009C2B24"/>
    <w:rsid w:val="009C2D1E"/>
    <w:rsid w:val="009C2D5E"/>
    <w:rsid w:val="009C3365"/>
    <w:rsid w:val="009C38F7"/>
    <w:rsid w:val="009C44A4"/>
    <w:rsid w:val="009C5722"/>
    <w:rsid w:val="009C5E15"/>
    <w:rsid w:val="009C5EAE"/>
    <w:rsid w:val="009C6624"/>
    <w:rsid w:val="009C7327"/>
    <w:rsid w:val="009C7B69"/>
    <w:rsid w:val="009D1BA6"/>
    <w:rsid w:val="009D4DAF"/>
    <w:rsid w:val="009D4F3B"/>
    <w:rsid w:val="009D5452"/>
    <w:rsid w:val="009D5A94"/>
    <w:rsid w:val="009D5C55"/>
    <w:rsid w:val="009D6969"/>
    <w:rsid w:val="009D78E5"/>
    <w:rsid w:val="009D7A73"/>
    <w:rsid w:val="009E1366"/>
    <w:rsid w:val="009E1B4E"/>
    <w:rsid w:val="009E2590"/>
    <w:rsid w:val="009E29C9"/>
    <w:rsid w:val="009E2A76"/>
    <w:rsid w:val="009E30CF"/>
    <w:rsid w:val="009E3B84"/>
    <w:rsid w:val="009E4328"/>
    <w:rsid w:val="009E4949"/>
    <w:rsid w:val="009E5884"/>
    <w:rsid w:val="009E58ED"/>
    <w:rsid w:val="009E599F"/>
    <w:rsid w:val="009E6374"/>
    <w:rsid w:val="009E63F1"/>
    <w:rsid w:val="009E6591"/>
    <w:rsid w:val="009E67AE"/>
    <w:rsid w:val="009E6882"/>
    <w:rsid w:val="009F06B0"/>
    <w:rsid w:val="009F1064"/>
    <w:rsid w:val="009F11DD"/>
    <w:rsid w:val="009F1DD3"/>
    <w:rsid w:val="009F22AF"/>
    <w:rsid w:val="009F327C"/>
    <w:rsid w:val="009F366F"/>
    <w:rsid w:val="009F44F4"/>
    <w:rsid w:val="009F451E"/>
    <w:rsid w:val="009F4CAE"/>
    <w:rsid w:val="009F54C3"/>
    <w:rsid w:val="009F6D4F"/>
    <w:rsid w:val="009F717B"/>
    <w:rsid w:val="009F799C"/>
    <w:rsid w:val="009F7C7C"/>
    <w:rsid w:val="00A00346"/>
    <w:rsid w:val="00A0319E"/>
    <w:rsid w:val="00A036B2"/>
    <w:rsid w:val="00A0431B"/>
    <w:rsid w:val="00A050CB"/>
    <w:rsid w:val="00A05157"/>
    <w:rsid w:val="00A05705"/>
    <w:rsid w:val="00A05D13"/>
    <w:rsid w:val="00A0637C"/>
    <w:rsid w:val="00A07A20"/>
    <w:rsid w:val="00A112E7"/>
    <w:rsid w:val="00A13531"/>
    <w:rsid w:val="00A13824"/>
    <w:rsid w:val="00A14A9A"/>
    <w:rsid w:val="00A15711"/>
    <w:rsid w:val="00A164E9"/>
    <w:rsid w:val="00A17529"/>
    <w:rsid w:val="00A17682"/>
    <w:rsid w:val="00A20532"/>
    <w:rsid w:val="00A20814"/>
    <w:rsid w:val="00A20D72"/>
    <w:rsid w:val="00A225D0"/>
    <w:rsid w:val="00A22E42"/>
    <w:rsid w:val="00A23254"/>
    <w:rsid w:val="00A2422D"/>
    <w:rsid w:val="00A24686"/>
    <w:rsid w:val="00A25593"/>
    <w:rsid w:val="00A26EFC"/>
    <w:rsid w:val="00A27068"/>
    <w:rsid w:val="00A2708A"/>
    <w:rsid w:val="00A321D1"/>
    <w:rsid w:val="00A32B90"/>
    <w:rsid w:val="00A33926"/>
    <w:rsid w:val="00A34796"/>
    <w:rsid w:val="00A35590"/>
    <w:rsid w:val="00A3724B"/>
    <w:rsid w:val="00A401BA"/>
    <w:rsid w:val="00A4162D"/>
    <w:rsid w:val="00A4290C"/>
    <w:rsid w:val="00A42D45"/>
    <w:rsid w:val="00A43A09"/>
    <w:rsid w:val="00A444A3"/>
    <w:rsid w:val="00A44D23"/>
    <w:rsid w:val="00A45422"/>
    <w:rsid w:val="00A462B9"/>
    <w:rsid w:val="00A50022"/>
    <w:rsid w:val="00A503B1"/>
    <w:rsid w:val="00A50A40"/>
    <w:rsid w:val="00A52229"/>
    <w:rsid w:val="00A525DD"/>
    <w:rsid w:val="00A526EA"/>
    <w:rsid w:val="00A54A7A"/>
    <w:rsid w:val="00A54F6C"/>
    <w:rsid w:val="00A558AF"/>
    <w:rsid w:val="00A56581"/>
    <w:rsid w:val="00A56AF1"/>
    <w:rsid w:val="00A56DC7"/>
    <w:rsid w:val="00A60646"/>
    <w:rsid w:val="00A60FAE"/>
    <w:rsid w:val="00A61B9E"/>
    <w:rsid w:val="00A6293C"/>
    <w:rsid w:val="00A631C9"/>
    <w:rsid w:val="00A63209"/>
    <w:rsid w:val="00A63839"/>
    <w:rsid w:val="00A63E2A"/>
    <w:rsid w:val="00A6445C"/>
    <w:rsid w:val="00A6698E"/>
    <w:rsid w:val="00A6751F"/>
    <w:rsid w:val="00A67D2F"/>
    <w:rsid w:val="00A70147"/>
    <w:rsid w:val="00A707E7"/>
    <w:rsid w:val="00A70D1A"/>
    <w:rsid w:val="00A714EE"/>
    <w:rsid w:val="00A71E43"/>
    <w:rsid w:val="00A735BB"/>
    <w:rsid w:val="00A73ACA"/>
    <w:rsid w:val="00A749BF"/>
    <w:rsid w:val="00A74CC6"/>
    <w:rsid w:val="00A75729"/>
    <w:rsid w:val="00A76A50"/>
    <w:rsid w:val="00A76B01"/>
    <w:rsid w:val="00A76DC3"/>
    <w:rsid w:val="00A776B6"/>
    <w:rsid w:val="00A77929"/>
    <w:rsid w:val="00A77CB1"/>
    <w:rsid w:val="00A80036"/>
    <w:rsid w:val="00A80CE4"/>
    <w:rsid w:val="00A80E81"/>
    <w:rsid w:val="00A822B2"/>
    <w:rsid w:val="00A82648"/>
    <w:rsid w:val="00A82B71"/>
    <w:rsid w:val="00A83729"/>
    <w:rsid w:val="00A83895"/>
    <w:rsid w:val="00A83C8B"/>
    <w:rsid w:val="00A83F68"/>
    <w:rsid w:val="00A84056"/>
    <w:rsid w:val="00A85247"/>
    <w:rsid w:val="00A85D7B"/>
    <w:rsid w:val="00A87324"/>
    <w:rsid w:val="00A87739"/>
    <w:rsid w:val="00A90503"/>
    <w:rsid w:val="00A90E06"/>
    <w:rsid w:val="00A92478"/>
    <w:rsid w:val="00A92AAF"/>
    <w:rsid w:val="00A93216"/>
    <w:rsid w:val="00A93DC7"/>
    <w:rsid w:val="00A93F34"/>
    <w:rsid w:val="00A94B13"/>
    <w:rsid w:val="00A96C0B"/>
    <w:rsid w:val="00A96D1B"/>
    <w:rsid w:val="00A97519"/>
    <w:rsid w:val="00A979ED"/>
    <w:rsid w:val="00AA03CE"/>
    <w:rsid w:val="00AA0BC7"/>
    <w:rsid w:val="00AA203D"/>
    <w:rsid w:val="00AA279E"/>
    <w:rsid w:val="00AA2D93"/>
    <w:rsid w:val="00AA47BE"/>
    <w:rsid w:val="00AA4B91"/>
    <w:rsid w:val="00AA537E"/>
    <w:rsid w:val="00AA562F"/>
    <w:rsid w:val="00AA59A0"/>
    <w:rsid w:val="00AA65A9"/>
    <w:rsid w:val="00AA6FD4"/>
    <w:rsid w:val="00AA72CC"/>
    <w:rsid w:val="00AB0812"/>
    <w:rsid w:val="00AB1069"/>
    <w:rsid w:val="00AB24AD"/>
    <w:rsid w:val="00AB2792"/>
    <w:rsid w:val="00AB2920"/>
    <w:rsid w:val="00AB385C"/>
    <w:rsid w:val="00AC0A94"/>
    <w:rsid w:val="00AC141D"/>
    <w:rsid w:val="00AC1A4B"/>
    <w:rsid w:val="00AC3005"/>
    <w:rsid w:val="00AC3642"/>
    <w:rsid w:val="00AC401D"/>
    <w:rsid w:val="00AC7619"/>
    <w:rsid w:val="00AD0054"/>
    <w:rsid w:val="00AD0126"/>
    <w:rsid w:val="00AD01C2"/>
    <w:rsid w:val="00AD0FCB"/>
    <w:rsid w:val="00AD159C"/>
    <w:rsid w:val="00AD262A"/>
    <w:rsid w:val="00AD29A8"/>
    <w:rsid w:val="00AD320D"/>
    <w:rsid w:val="00AD4DD2"/>
    <w:rsid w:val="00AD55C4"/>
    <w:rsid w:val="00AD60A9"/>
    <w:rsid w:val="00AE08D6"/>
    <w:rsid w:val="00AE1333"/>
    <w:rsid w:val="00AE2EDF"/>
    <w:rsid w:val="00AE495A"/>
    <w:rsid w:val="00AE627E"/>
    <w:rsid w:val="00AE6FA7"/>
    <w:rsid w:val="00AE7035"/>
    <w:rsid w:val="00AE70D3"/>
    <w:rsid w:val="00AE7473"/>
    <w:rsid w:val="00AE7757"/>
    <w:rsid w:val="00AF060E"/>
    <w:rsid w:val="00AF0652"/>
    <w:rsid w:val="00AF06DB"/>
    <w:rsid w:val="00AF1F1E"/>
    <w:rsid w:val="00AF1F1F"/>
    <w:rsid w:val="00AF2A5A"/>
    <w:rsid w:val="00AF2C85"/>
    <w:rsid w:val="00AF2D42"/>
    <w:rsid w:val="00AF3911"/>
    <w:rsid w:val="00AF4D41"/>
    <w:rsid w:val="00AF4E7B"/>
    <w:rsid w:val="00AF569A"/>
    <w:rsid w:val="00AF572D"/>
    <w:rsid w:val="00AF5EEF"/>
    <w:rsid w:val="00AF70BB"/>
    <w:rsid w:val="00AF7417"/>
    <w:rsid w:val="00AF79CB"/>
    <w:rsid w:val="00AF7F1E"/>
    <w:rsid w:val="00B00A27"/>
    <w:rsid w:val="00B012CD"/>
    <w:rsid w:val="00B01639"/>
    <w:rsid w:val="00B03B71"/>
    <w:rsid w:val="00B05E38"/>
    <w:rsid w:val="00B07D81"/>
    <w:rsid w:val="00B11442"/>
    <w:rsid w:val="00B12735"/>
    <w:rsid w:val="00B13020"/>
    <w:rsid w:val="00B15C71"/>
    <w:rsid w:val="00B160F5"/>
    <w:rsid w:val="00B166B5"/>
    <w:rsid w:val="00B1697D"/>
    <w:rsid w:val="00B174D2"/>
    <w:rsid w:val="00B178C6"/>
    <w:rsid w:val="00B216CF"/>
    <w:rsid w:val="00B2193A"/>
    <w:rsid w:val="00B21946"/>
    <w:rsid w:val="00B22687"/>
    <w:rsid w:val="00B22D1D"/>
    <w:rsid w:val="00B234B6"/>
    <w:rsid w:val="00B2353A"/>
    <w:rsid w:val="00B246B4"/>
    <w:rsid w:val="00B262C8"/>
    <w:rsid w:val="00B26DB6"/>
    <w:rsid w:val="00B3015E"/>
    <w:rsid w:val="00B30D09"/>
    <w:rsid w:val="00B30EFB"/>
    <w:rsid w:val="00B33662"/>
    <w:rsid w:val="00B34382"/>
    <w:rsid w:val="00B34C51"/>
    <w:rsid w:val="00B3525C"/>
    <w:rsid w:val="00B36020"/>
    <w:rsid w:val="00B36477"/>
    <w:rsid w:val="00B36684"/>
    <w:rsid w:val="00B3735E"/>
    <w:rsid w:val="00B37B28"/>
    <w:rsid w:val="00B41404"/>
    <w:rsid w:val="00B41A7F"/>
    <w:rsid w:val="00B41EA1"/>
    <w:rsid w:val="00B425DD"/>
    <w:rsid w:val="00B42A83"/>
    <w:rsid w:val="00B4322B"/>
    <w:rsid w:val="00B452A3"/>
    <w:rsid w:val="00B45357"/>
    <w:rsid w:val="00B4537B"/>
    <w:rsid w:val="00B470A0"/>
    <w:rsid w:val="00B47C96"/>
    <w:rsid w:val="00B47D63"/>
    <w:rsid w:val="00B505F9"/>
    <w:rsid w:val="00B50E2D"/>
    <w:rsid w:val="00B510BF"/>
    <w:rsid w:val="00B523ED"/>
    <w:rsid w:val="00B5244A"/>
    <w:rsid w:val="00B531AB"/>
    <w:rsid w:val="00B53C34"/>
    <w:rsid w:val="00B54120"/>
    <w:rsid w:val="00B54B14"/>
    <w:rsid w:val="00B54E82"/>
    <w:rsid w:val="00B55793"/>
    <w:rsid w:val="00B60071"/>
    <w:rsid w:val="00B61044"/>
    <w:rsid w:val="00B62488"/>
    <w:rsid w:val="00B65147"/>
    <w:rsid w:val="00B651E4"/>
    <w:rsid w:val="00B65791"/>
    <w:rsid w:val="00B660BD"/>
    <w:rsid w:val="00B66A36"/>
    <w:rsid w:val="00B7027B"/>
    <w:rsid w:val="00B72438"/>
    <w:rsid w:val="00B72BAB"/>
    <w:rsid w:val="00B732AD"/>
    <w:rsid w:val="00B74429"/>
    <w:rsid w:val="00B74559"/>
    <w:rsid w:val="00B74743"/>
    <w:rsid w:val="00B7602C"/>
    <w:rsid w:val="00B76557"/>
    <w:rsid w:val="00B7680B"/>
    <w:rsid w:val="00B77D8D"/>
    <w:rsid w:val="00B81BCB"/>
    <w:rsid w:val="00B8290B"/>
    <w:rsid w:val="00B85489"/>
    <w:rsid w:val="00B867C5"/>
    <w:rsid w:val="00B86F03"/>
    <w:rsid w:val="00B87179"/>
    <w:rsid w:val="00B87236"/>
    <w:rsid w:val="00B87D12"/>
    <w:rsid w:val="00B9048A"/>
    <w:rsid w:val="00B906E1"/>
    <w:rsid w:val="00B93B50"/>
    <w:rsid w:val="00B9490C"/>
    <w:rsid w:val="00B951FF"/>
    <w:rsid w:val="00B956B6"/>
    <w:rsid w:val="00B962AF"/>
    <w:rsid w:val="00BA000A"/>
    <w:rsid w:val="00BA0F40"/>
    <w:rsid w:val="00BA118B"/>
    <w:rsid w:val="00BA1970"/>
    <w:rsid w:val="00BA2A0F"/>
    <w:rsid w:val="00BA2CD0"/>
    <w:rsid w:val="00BA328B"/>
    <w:rsid w:val="00BA3D5F"/>
    <w:rsid w:val="00BA45BD"/>
    <w:rsid w:val="00BA47F0"/>
    <w:rsid w:val="00BA4E0F"/>
    <w:rsid w:val="00BA4EE4"/>
    <w:rsid w:val="00BA5E71"/>
    <w:rsid w:val="00BA6BE9"/>
    <w:rsid w:val="00BB0782"/>
    <w:rsid w:val="00BB0DE5"/>
    <w:rsid w:val="00BB1C7E"/>
    <w:rsid w:val="00BB2E04"/>
    <w:rsid w:val="00BB3000"/>
    <w:rsid w:val="00BB34E3"/>
    <w:rsid w:val="00BB3911"/>
    <w:rsid w:val="00BB3E3B"/>
    <w:rsid w:val="00BB5721"/>
    <w:rsid w:val="00BB5E3F"/>
    <w:rsid w:val="00BB69DB"/>
    <w:rsid w:val="00BB6F82"/>
    <w:rsid w:val="00BB723C"/>
    <w:rsid w:val="00BB73B4"/>
    <w:rsid w:val="00BC0863"/>
    <w:rsid w:val="00BC1AB5"/>
    <w:rsid w:val="00BC1F24"/>
    <w:rsid w:val="00BC2630"/>
    <w:rsid w:val="00BC2BA2"/>
    <w:rsid w:val="00BC2ED4"/>
    <w:rsid w:val="00BC311E"/>
    <w:rsid w:val="00BC311F"/>
    <w:rsid w:val="00BC34E3"/>
    <w:rsid w:val="00BC36B3"/>
    <w:rsid w:val="00BC54DD"/>
    <w:rsid w:val="00BC561D"/>
    <w:rsid w:val="00BC5906"/>
    <w:rsid w:val="00BC6922"/>
    <w:rsid w:val="00BC6BCA"/>
    <w:rsid w:val="00BC7C24"/>
    <w:rsid w:val="00BD0693"/>
    <w:rsid w:val="00BD08E5"/>
    <w:rsid w:val="00BD0CA8"/>
    <w:rsid w:val="00BD0CCE"/>
    <w:rsid w:val="00BD0F2D"/>
    <w:rsid w:val="00BD1014"/>
    <w:rsid w:val="00BD396E"/>
    <w:rsid w:val="00BD3DF1"/>
    <w:rsid w:val="00BD4914"/>
    <w:rsid w:val="00BD55B7"/>
    <w:rsid w:val="00BD659A"/>
    <w:rsid w:val="00BD7AF5"/>
    <w:rsid w:val="00BD7F12"/>
    <w:rsid w:val="00BE0572"/>
    <w:rsid w:val="00BE07B1"/>
    <w:rsid w:val="00BE0F0E"/>
    <w:rsid w:val="00BE14E0"/>
    <w:rsid w:val="00BE1B94"/>
    <w:rsid w:val="00BE20C3"/>
    <w:rsid w:val="00BE22CC"/>
    <w:rsid w:val="00BE2331"/>
    <w:rsid w:val="00BE44A5"/>
    <w:rsid w:val="00BE470D"/>
    <w:rsid w:val="00BE4A53"/>
    <w:rsid w:val="00BE60EB"/>
    <w:rsid w:val="00BE627F"/>
    <w:rsid w:val="00BE7875"/>
    <w:rsid w:val="00BF0642"/>
    <w:rsid w:val="00BF1223"/>
    <w:rsid w:val="00BF136D"/>
    <w:rsid w:val="00BF17E8"/>
    <w:rsid w:val="00BF21B1"/>
    <w:rsid w:val="00BF29AC"/>
    <w:rsid w:val="00BF2F44"/>
    <w:rsid w:val="00BF3681"/>
    <w:rsid w:val="00BF3D5B"/>
    <w:rsid w:val="00BF442E"/>
    <w:rsid w:val="00BF4912"/>
    <w:rsid w:val="00BF4B8F"/>
    <w:rsid w:val="00BF51C9"/>
    <w:rsid w:val="00BF5F23"/>
    <w:rsid w:val="00C000FD"/>
    <w:rsid w:val="00C005BC"/>
    <w:rsid w:val="00C005ED"/>
    <w:rsid w:val="00C01DF1"/>
    <w:rsid w:val="00C04D83"/>
    <w:rsid w:val="00C0564D"/>
    <w:rsid w:val="00C0568B"/>
    <w:rsid w:val="00C06D36"/>
    <w:rsid w:val="00C1070D"/>
    <w:rsid w:val="00C10B3B"/>
    <w:rsid w:val="00C11080"/>
    <w:rsid w:val="00C11BC2"/>
    <w:rsid w:val="00C11ECE"/>
    <w:rsid w:val="00C129DE"/>
    <w:rsid w:val="00C150BB"/>
    <w:rsid w:val="00C15532"/>
    <w:rsid w:val="00C16B79"/>
    <w:rsid w:val="00C2099E"/>
    <w:rsid w:val="00C213AC"/>
    <w:rsid w:val="00C223BD"/>
    <w:rsid w:val="00C224C0"/>
    <w:rsid w:val="00C22816"/>
    <w:rsid w:val="00C23CF0"/>
    <w:rsid w:val="00C24649"/>
    <w:rsid w:val="00C249F4"/>
    <w:rsid w:val="00C25559"/>
    <w:rsid w:val="00C263C7"/>
    <w:rsid w:val="00C265BD"/>
    <w:rsid w:val="00C31272"/>
    <w:rsid w:val="00C31466"/>
    <w:rsid w:val="00C31BB5"/>
    <w:rsid w:val="00C34562"/>
    <w:rsid w:val="00C369F9"/>
    <w:rsid w:val="00C438EB"/>
    <w:rsid w:val="00C457FD"/>
    <w:rsid w:val="00C4717F"/>
    <w:rsid w:val="00C47AA5"/>
    <w:rsid w:val="00C51826"/>
    <w:rsid w:val="00C525CD"/>
    <w:rsid w:val="00C52A04"/>
    <w:rsid w:val="00C52F58"/>
    <w:rsid w:val="00C5468F"/>
    <w:rsid w:val="00C5499E"/>
    <w:rsid w:val="00C551BE"/>
    <w:rsid w:val="00C5534A"/>
    <w:rsid w:val="00C55F9D"/>
    <w:rsid w:val="00C57048"/>
    <w:rsid w:val="00C579D5"/>
    <w:rsid w:val="00C57FF1"/>
    <w:rsid w:val="00C60145"/>
    <w:rsid w:val="00C60531"/>
    <w:rsid w:val="00C60836"/>
    <w:rsid w:val="00C60B49"/>
    <w:rsid w:val="00C61564"/>
    <w:rsid w:val="00C6168E"/>
    <w:rsid w:val="00C62223"/>
    <w:rsid w:val="00C62969"/>
    <w:rsid w:val="00C63074"/>
    <w:rsid w:val="00C631F9"/>
    <w:rsid w:val="00C63544"/>
    <w:rsid w:val="00C6394E"/>
    <w:rsid w:val="00C63A5B"/>
    <w:rsid w:val="00C64CA8"/>
    <w:rsid w:val="00C65397"/>
    <w:rsid w:val="00C715BD"/>
    <w:rsid w:val="00C717F8"/>
    <w:rsid w:val="00C71E0C"/>
    <w:rsid w:val="00C7228F"/>
    <w:rsid w:val="00C7297B"/>
    <w:rsid w:val="00C76128"/>
    <w:rsid w:val="00C775AD"/>
    <w:rsid w:val="00C81399"/>
    <w:rsid w:val="00C82776"/>
    <w:rsid w:val="00C829BF"/>
    <w:rsid w:val="00C82B71"/>
    <w:rsid w:val="00C8303E"/>
    <w:rsid w:val="00C83C7F"/>
    <w:rsid w:val="00C83E7D"/>
    <w:rsid w:val="00C84D4A"/>
    <w:rsid w:val="00C84EC9"/>
    <w:rsid w:val="00C853E0"/>
    <w:rsid w:val="00C85731"/>
    <w:rsid w:val="00C8685C"/>
    <w:rsid w:val="00C86EDA"/>
    <w:rsid w:val="00C874A3"/>
    <w:rsid w:val="00C87826"/>
    <w:rsid w:val="00C87978"/>
    <w:rsid w:val="00C87F55"/>
    <w:rsid w:val="00C900A6"/>
    <w:rsid w:val="00C900B9"/>
    <w:rsid w:val="00C9066A"/>
    <w:rsid w:val="00C90AE0"/>
    <w:rsid w:val="00C926AE"/>
    <w:rsid w:val="00C9389E"/>
    <w:rsid w:val="00C9400D"/>
    <w:rsid w:val="00C9595A"/>
    <w:rsid w:val="00C97C59"/>
    <w:rsid w:val="00CA0FE5"/>
    <w:rsid w:val="00CA1B3B"/>
    <w:rsid w:val="00CA4570"/>
    <w:rsid w:val="00CA560E"/>
    <w:rsid w:val="00CA5CC9"/>
    <w:rsid w:val="00CA723F"/>
    <w:rsid w:val="00CB0293"/>
    <w:rsid w:val="00CB09CE"/>
    <w:rsid w:val="00CB1948"/>
    <w:rsid w:val="00CB19D1"/>
    <w:rsid w:val="00CB1B1A"/>
    <w:rsid w:val="00CB242B"/>
    <w:rsid w:val="00CB2A6E"/>
    <w:rsid w:val="00CB3B7D"/>
    <w:rsid w:val="00CB5D14"/>
    <w:rsid w:val="00CB6C17"/>
    <w:rsid w:val="00CB7304"/>
    <w:rsid w:val="00CB7864"/>
    <w:rsid w:val="00CB78C4"/>
    <w:rsid w:val="00CB79B2"/>
    <w:rsid w:val="00CB7F17"/>
    <w:rsid w:val="00CC0897"/>
    <w:rsid w:val="00CC1CB4"/>
    <w:rsid w:val="00CC3478"/>
    <w:rsid w:val="00CC46C3"/>
    <w:rsid w:val="00CC61B9"/>
    <w:rsid w:val="00CC7D0A"/>
    <w:rsid w:val="00CD02AB"/>
    <w:rsid w:val="00CD03FF"/>
    <w:rsid w:val="00CD13F8"/>
    <w:rsid w:val="00CD22C5"/>
    <w:rsid w:val="00CD28D5"/>
    <w:rsid w:val="00CD2EA0"/>
    <w:rsid w:val="00CD330F"/>
    <w:rsid w:val="00CD4123"/>
    <w:rsid w:val="00CD61C1"/>
    <w:rsid w:val="00CD6788"/>
    <w:rsid w:val="00CD681E"/>
    <w:rsid w:val="00CD7E3B"/>
    <w:rsid w:val="00CE1083"/>
    <w:rsid w:val="00CE11F6"/>
    <w:rsid w:val="00CE1F22"/>
    <w:rsid w:val="00CE2716"/>
    <w:rsid w:val="00CE2DFA"/>
    <w:rsid w:val="00CE2F2A"/>
    <w:rsid w:val="00CE33AC"/>
    <w:rsid w:val="00CE38FD"/>
    <w:rsid w:val="00CE4143"/>
    <w:rsid w:val="00CE461E"/>
    <w:rsid w:val="00CE6065"/>
    <w:rsid w:val="00CE699E"/>
    <w:rsid w:val="00CE7B3A"/>
    <w:rsid w:val="00CF00D7"/>
    <w:rsid w:val="00CF01F6"/>
    <w:rsid w:val="00CF02B4"/>
    <w:rsid w:val="00CF0490"/>
    <w:rsid w:val="00CF0AD2"/>
    <w:rsid w:val="00CF1173"/>
    <w:rsid w:val="00CF120E"/>
    <w:rsid w:val="00CF1E09"/>
    <w:rsid w:val="00CF20F8"/>
    <w:rsid w:val="00CF2C6A"/>
    <w:rsid w:val="00CF2C9E"/>
    <w:rsid w:val="00CF52CA"/>
    <w:rsid w:val="00CF5485"/>
    <w:rsid w:val="00CF5ACA"/>
    <w:rsid w:val="00CF5CDF"/>
    <w:rsid w:val="00CF6DC4"/>
    <w:rsid w:val="00CF7075"/>
    <w:rsid w:val="00CF73B5"/>
    <w:rsid w:val="00CF741A"/>
    <w:rsid w:val="00CF76B3"/>
    <w:rsid w:val="00CF77BF"/>
    <w:rsid w:val="00CF7D07"/>
    <w:rsid w:val="00D00BE7"/>
    <w:rsid w:val="00D00E94"/>
    <w:rsid w:val="00D0144A"/>
    <w:rsid w:val="00D014B1"/>
    <w:rsid w:val="00D025F1"/>
    <w:rsid w:val="00D03109"/>
    <w:rsid w:val="00D032B2"/>
    <w:rsid w:val="00D03A53"/>
    <w:rsid w:val="00D04219"/>
    <w:rsid w:val="00D042B9"/>
    <w:rsid w:val="00D075C8"/>
    <w:rsid w:val="00D07D0A"/>
    <w:rsid w:val="00D100AF"/>
    <w:rsid w:val="00D100F6"/>
    <w:rsid w:val="00D11A4B"/>
    <w:rsid w:val="00D11DDC"/>
    <w:rsid w:val="00D1275B"/>
    <w:rsid w:val="00D13B3E"/>
    <w:rsid w:val="00D14823"/>
    <w:rsid w:val="00D17BFC"/>
    <w:rsid w:val="00D17E45"/>
    <w:rsid w:val="00D17F54"/>
    <w:rsid w:val="00D202C1"/>
    <w:rsid w:val="00D21F05"/>
    <w:rsid w:val="00D22963"/>
    <w:rsid w:val="00D240DB"/>
    <w:rsid w:val="00D24521"/>
    <w:rsid w:val="00D250E4"/>
    <w:rsid w:val="00D251D4"/>
    <w:rsid w:val="00D270B3"/>
    <w:rsid w:val="00D270E9"/>
    <w:rsid w:val="00D27C6F"/>
    <w:rsid w:val="00D3001D"/>
    <w:rsid w:val="00D307D1"/>
    <w:rsid w:val="00D30B66"/>
    <w:rsid w:val="00D31842"/>
    <w:rsid w:val="00D31C14"/>
    <w:rsid w:val="00D33C62"/>
    <w:rsid w:val="00D35098"/>
    <w:rsid w:val="00D35596"/>
    <w:rsid w:val="00D35616"/>
    <w:rsid w:val="00D35664"/>
    <w:rsid w:val="00D35810"/>
    <w:rsid w:val="00D3665B"/>
    <w:rsid w:val="00D36F00"/>
    <w:rsid w:val="00D40A25"/>
    <w:rsid w:val="00D422E7"/>
    <w:rsid w:val="00D42F42"/>
    <w:rsid w:val="00D43767"/>
    <w:rsid w:val="00D444B5"/>
    <w:rsid w:val="00D4461C"/>
    <w:rsid w:val="00D45A55"/>
    <w:rsid w:val="00D478F6"/>
    <w:rsid w:val="00D500F9"/>
    <w:rsid w:val="00D501A1"/>
    <w:rsid w:val="00D52251"/>
    <w:rsid w:val="00D54325"/>
    <w:rsid w:val="00D54FA8"/>
    <w:rsid w:val="00D55318"/>
    <w:rsid w:val="00D60512"/>
    <w:rsid w:val="00D60B36"/>
    <w:rsid w:val="00D61D54"/>
    <w:rsid w:val="00D63CCB"/>
    <w:rsid w:val="00D65446"/>
    <w:rsid w:val="00D65E59"/>
    <w:rsid w:val="00D6634F"/>
    <w:rsid w:val="00D66E80"/>
    <w:rsid w:val="00D67480"/>
    <w:rsid w:val="00D7055A"/>
    <w:rsid w:val="00D70A32"/>
    <w:rsid w:val="00D70A75"/>
    <w:rsid w:val="00D71D29"/>
    <w:rsid w:val="00D72A31"/>
    <w:rsid w:val="00D73D1F"/>
    <w:rsid w:val="00D7465B"/>
    <w:rsid w:val="00D764E3"/>
    <w:rsid w:val="00D76AF1"/>
    <w:rsid w:val="00D80065"/>
    <w:rsid w:val="00D816FA"/>
    <w:rsid w:val="00D8203D"/>
    <w:rsid w:val="00D85741"/>
    <w:rsid w:val="00D903E2"/>
    <w:rsid w:val="00D9055C"/>
    <w:rsid w:val="00D90A45"/>
    <w:rsid w:val="00D90C50"/>
    <w:rsid w:val="00D92F9F"/>
    <w:rsid w:val="00D92FBF"/>
    <w:rsid w:val="00D9315A"/>
    <w:rsid w:val="00D93260"/>
    <w:rsid w:val="00D934F0"/>
    <w:rsid w:val="00D93F16"/>
    <w:rsid w:val="00D94754"/>
    <w:rsid w:val="00D94C5D"/>
    <w:rsid w:val="00D94E08"/>
    <w:rsid w:val="00D95AD5"/>
    <w:rsid w:val="00D95E2C"/>
    <w:rsid w:val="00D97557"/>
    <w:rsid w:val="00D977EB"/>
    <w:rsid w:val="00DA257F"/>
    <w:rsid w:val="00DA2C37"/>
    <w:rsid w:val="00DA3DF4"/>
    <w:rsid w:val="00DA3EDA"/>
    <w:rsid w:val="00DA48DA"/>
    <w:rsid w:val="00DA6976"/>
    <w:rsid w:val="00DA703F"/>
    <w:rsid w:val="00DA7ECA"/>
    <w:rsid w:val="00DB0169"/>
    <w:rsid w:val="00DB02E7"/>
    <w:rsid w:val="00DB0AC3"/>
    <w:rsid w:val="00DB15EB"/>
    <w:rsid w:val="00DB1990"/>
    <w:rsid w:val="00DB1991"/>
    <w:rsid w:val="00DB19FF"/>
    <w:rsid w:val="00DB1EDA"/>
    <w:rsid w:val="00DB1F3F"/>
    <w:rsid w:val="00DB2168"/>
    <w:rsid w:val="00DB2200"/>
    <w:rsid w:val="00DB31BA"/>
    <w:rsid w:val="00DB41EA"/>
    <w:rsid w:val="00DB456B"/>
    <w:rsid w:val="00DB6129"/>
    <w:rsid w:val="00DB6308"/>
    <w:rsid w:val="00DB67FA"/>
    <w:rsid w:val="00DB6D2A"/>
    <w:rsid w:val="00DB6DE3"/>
    <w:rsid w:val="00DB6E4E"/>
    <w:rsid w:val="00DB715E"/>
    <w:rsid w:val="00DB71DB"/>
    <w:rsid w:val="00DC0457"/>
    <w:rsid w:val="00DC1430"/>
    <w:rsid w:val="00DC2152"/>
    <w:rsid w:val="00DC2A63"/>
    <w:rsid w:val="00DC6060"/>
    <w:rsid w:val="00DC611C"/>
    <w:rsid w:val="00DC663A"/>
    <w:rsid w:val="00DC6B0D"/>
    <w:rsid w:val="00DC774F"/>
    <w:rsid w:val="00DC7E22"/>
    <w:rsid w:val="00DD0632"/>
    <w:rsid w:val="00DD1D89"/>
    <w:rsid w:val="00DD2A09"/>
    <w:rsid w:val="00DD31EE"/>
    <w:rsid w:val="00DD342E"/>
    <w:rsid w:val="00DD36D5"/>
    <w:rsid w:val="00DD3713"/>
    <w:rsid w:val="00DD3B2B"/>
    <w:rsid w:val="00DD3CB9"/>
    <w:rsid w:val="00DD40EE"/>
    <w:rsid w:val="00DD55D5"/>
    <w:rsid w:val="00DD590B"/>
    <w:rsid w:val="00DD5A1F"/>
    <w:rsid w:val="00DD6D36"/>
    <w:rsid w:val="00DD6D7E"/>
    <w:rsid w:val="00DD6E05"/>
    <w:rsid w:val="00DE0317"/>
    <w:rsid w:val="00DE12BA"/>
    <w:rsid w:val="00DE23C9"/>
    <w:rsid w:val="00DE290E"/>
    <w:rsid w:val="00DE296E"/>
    <w:rsid w:val="00DE3271"/>
    <w:rsid w:val="00DE38D6"/>
    <w:rsid w:val="00DE45FB"/>
    <w:rsid w:val="00DE56F9"/>
    <w:rsid w:val="00DE6F26"/>
    <w:rsid w:val="00DE7345"/>
    <w:rsid w:val="00DF043F"/>
    <w:rsid w:val="00DF0DE0"/>
    <w:rsid w:val="00DF22BC"/>
    <w:rsid w:val="00DF253B"/>
    <w:rsid w:val="00DF278B"/>
    <w:rsid w:val="00DF3D29"/>
    <w:rsid w:val="00DF6918"/>
    <w:rsid w:val="00DF6EFD"/>
    <w:rsid w:val="00DF742C"/>
    <w:rsid w:val="00DF7938"/>
    <w:rsid w:val="00E000E2"/>
    <w:rsid w:val="00E004DB"/>
    <w:rsid w:val="00E005C1"/>
    <w:rsid w:val="00E01B3E"/>
    <w:rsid w:val="00E01C62"/>
    <w:rsid w:val="00E01C97"/>
    <w:rsid w:val="00E020B4"/>
    <w:rsid w:val="00E028C6"/>
    <w:rsid w:val="00E02CD1"/>
    <w:rsid w:val="00E048EB"/>
    <w:rsid w:val="00E05FBF"/>
    <w:rsid w:val="00E07299"/>
    <w:rsid w:val="00E073B6"/>
    <w:rsid w:val="00E10987"/>
    <w:rsid w:val="00E10E9F"/>
    <w:rsid w:val="00E11397"/>
    <w:rsid w:val="00E12162"/>
    <w:rsid w:val="00E122D0"/>
    <w:rsid w:val="00E1237D"/>
    <w:rsid w:val="00E1246C"/>
    <w:rsid w:val="00E14346"/>
    <w:rsid w:val="00E15335"/>
    <w:rsid w:val="00E15D76"/>
    <w:rsid w:val="00E15FE2"/>
    <w:rsid w:val="00E17213"/>
    <w:rsid w:val="00E172AE"/>
    <w:rsid w:val="00E17A0A"/>
    <w:rsid w:val="00E20973"/>
    <w:rsid w:val="00E20EAD"/>
    <w:rsid w:val="00E2114F"/>
    <w:rsid w:val="00E22ED2"/>
    <w:rsid w:val="00E231B5"/>
    <w:rsid w:val="00E26138"/>
    <w:rsid w:val="00E27344"/>
    <w:rsid w:val="00E27D5F"/>
    <w:rsid w:val="00E32F77"/>
    <w:rsid w:val="00E33E26"/>
    <w:rsid w:val="00E33F31"/>
    <w:rsid w:val="00E3475D"/>
    <w:rsid w:val="00E34C9F"/>
    <w:rsid w:val="00E35807"/>
    <w:rsid w:val="00E36A01"/>
    <w:rsid w:val="00E37B03"/>
    <w:rsid w:val="00E37F74"/>
    <w:rsid w:val="00E41838"/>
    <w:rsid w:val="00E429CC"/>
    <w:rsid w:val="00E43A45"/>
    <w:rsid w:val="00E44A2E"/>
    <w:rsid w:val="00E455C7"/>
    <w:rsid w:val="00E456B9"/>
    <w:rsid w:val="00E4726D"/>
    <w:rsid w:val="00E50377"/>
    <w:rsid w:val="00E51892"/>
    <w:rsid w:val="00E51BFE"/>
    <w:rsid w:val="00E51C99"/>
    <w:rsid w:val="00E51F77"/>
    <w:rsid w:val="00E51FF2"/>
    <w:rsid w:val="00E521C1"/>
    <w:rsid w:val="00E5267F"/>
    <w:rsid w:val="00E52E82"/>
    <w:rsid w:val="00E541DB"/>
    <w:rsid w:val="00E54F18"/>
    <w:rsid w:val="00E562B9"/>
    <w:rsid w:val="00E56527"/>
    <w:rsid w:val="00E57F81"/>
    <w:rsid w:val="00E60621"/>
    <w:rsid w:val="00E6065B"/>
    <w:rsid w:val="00E60E89"/>
    <w:rsid w:val="00E61936"/>
    <w:rsid w:val="00E62BA0"/>
    <w:rsid w:val="00E631AE"/>
    <w:rsid w:val="00E64002"/>
    <w:rsid w:val="00E64E77"/>
    <w:rsid w:val="00E65069"/>
    <w:rsid w:val="00E6615D"/>
    <w:rsid w:val="00E661DA"/>
    <w:rsid w:val="00E66311"/>
    <w:rsid w:val="00E666A2"/>
    <w:rsid w:val="00E6728C"/>
    <w:rsid w:val="00E672BA"/>
    <w:rsid w:val="00E676F8"/>
    <w:rsid w:val="00E67733"/>
    <w:rsid w:val="00E6795C"/>
    <w:rsid w:val="00E67B11"/>
    <w:rsid w:val="00E70CBD"/>
    <w:rsid w:val="00E70FF3"/>
    <w:rsid w:val="00E715FE"/>
    <w:rsid w:val="00E71891"/>
    <w:rsid w:val="00E71AF3"/>
    <w:rsid w:val="00E723B5"/>
    <w:rsid w:val="00E728D6"/>
    <w:rsid w:val="00E72D9D"/>
    <w:rsid w:val="00E73217"/>
    <w:rsid w:val="00E7398B"/>
    <w:rsid w:val="00E73A92"/>
    <w:rsid w:val="00E760AA"/>
    <w:rsid w:val="00E775D3"/>
    <w:rsid w:val="00E77D47"/>
    <w:rsid w:val="00E806D4"/>
    <w:rsid w:val="00E80E60"/>
    <w:rsid w:val="00E814A4"/>
    <w:rsid w:val="00E827E8"/>
    <w:rsid w:val="00E832F5"/>
    <w:rsid w:val="00E84287"/>
    <w:rsid w:val="00E84970"/>
    <w:rsid w:val="00E85CFC"/>
    <w:rsid w:val="00E85FC6"/>
    <w:rsid w:val="00E86D1B"/>
    <w:rsid w:val="00E87DB5"/>
    <w:rsid w:val="00E87F24"/>
    <w:rsid w:val="00E91625"/>
    <w:rsid w:val="00E926D2"/>
    <w:rsid w:val="00E93CCA"/>
    <w:rsid w:val="00E93E95"/>
    <w:rsid w:val="00E94733"/>
    <w:rsid w:val="00E963FB"/>
    <w:rsid w:val="00E965C0"/>
    <w:rsid w:val="00E969BA"/>
    <w:rsid w:val="00E975A8"/>
    <w:rsid w:val="00EA0275"/>
    <w:rsid w:val="00EA0F7D"/>
    <w:rsid w:val="00EA29A3"/>
    <w:rsid w:val="00EA543D"/>
    <w:rsid w:val="00EA71B1"/>
    <w:rsid w:val="00EB025B"/>
    <w:rsid w:val="00EB128C"/>
    <w:rsid w:val="00EB13CC"/>
    <w:rsid w:val="00EB198B"/>
    <w:rsid w:val="00EB2240"/>
    <w:rsid w:val="00EB3271"/>
    <w:rsid w:val="00EB38EF"/>
    <w:rsid w:val="00EB3ED9"/>
    <w:rsid w:val="00EB417F"/>
    <w:rsid w:val="00EB44C1"/>
    <w:rsid w:val="00EB4DAA"/>
    <w:rsid w:val="00EB5F43"/>
    <w:rsid w:val="00EB7EAB"/>
    <w:rsid w:val="00EB7EBE"/>
    <w:rsid w:val="00EC051D"/>
    <w:rsid w:val="00EC0EBC"/>
    <w:rsid w:val="00EC15BB"/>
    <w:rsid w:val="00EC161A"/>
    <w:rsid w:val="00EC19D7"/>
    <w:rsid w:val="00EC1B98"/>
    <w:rsid w:val="00EC4D36"/>
    <w:rsid w:val="00EC4E93"/>
    <w:rsid w:val="00EC55F5"/>
    <w:rsid w:val="00EC5C38"/>
    <w:rsid w:val="00EC6E0D"/>
    <w:rsid w:val="00EC709E"/>
    <w:rsid w:val="00EC7E14"/>
    <w:rsid w:val="00ED006E"/>
    <w:rsid w:val="00ED031A"/>
    <w:rsid w:val="00ED0802"/>
    <w:rsid w:val="00ED0AE9"/>
    <w:rsid w:val="00ED1930"/>
    <w:rsid w:val="00ED3B14"/>
    <w:rsid w:val="00ED4506"/>
    <w:rsid w:val="00ED5D29"/>
    <w:rsid w:val="00ED5E5E"/>
    <w:rsid w:val="00ED6966"/>
    <w:rsid w:val="00ED6EE3"/>
    <w:rsid w:val="00ED6F01"/>
    <w:rsid w:val="00ED7484"/>
    <w:rsid w:val="00EE1F28"/>
    <w:rsid w:val="00EE46DE"/>
    <w:rsid w:val="00EE60CF"/>
    <w:rsid w:val="00EE6649"/>
    <w:rsid w:val="00EE7541"/>
    <w:rsid w:val="00EE79AE"/>
    <w:rsid w:val="00EF067B"/>
    <w:rsid w:val="00EF0CD0"/>
    <w:rsid w:val="00EF13ED"/>
    <w:rsid w:val="00EF284D"/>
    <w:rsid w:val="00EF2A2C"/>
    <w:rsid w:val="00EF2AD8"/>
    <w:rsid w:val="00EF30E5"/>
    <w:rsid w:val="00EF4233"/>
    <w:rsid w:val="00EF4240"/>
    <w:rsid w:val="00EF4272"/>
    <w:rsid w:val="00EF4497"/>
    <w:rsid w:val="00EF5746"/>
    <w:rsid w:val="00EF587D"/>
    <w:rsid w:val="00EF7011"/>
    <w:rsid w:val="00EF7A51"/>
    <w:rsid w:val="00EF7E66"/>
    <w:rsid w:val="00EF7FFD"/>
    <w:rsid w:val="00F0098C"/>
    <w:rsid w:val="00F025B3"/>
    <w:rsid w:val="00F03628"/>
    <w:rsid w:val="00F04F94"/>
    <w:rsid w:val="00F0516F"/>
    <w:rsid w:val="00F05252"/>
    <w:rsid w:val="00F059B3"/>
    <w:rsid w:val="00F060D7"/>
    <w:rsid w:val="00F06BA0"/>
    <w:rsid w:val="00F06D25"/>
    <w:rsid w:val="00F11E9E"/>
    <w:rsid w:val="00F12469"/>
    <w:rsid w:val="00F13DB5"/>
    <w:rsid w:val="00F1504E"/>
    <w:rsid w:val="00F1512E"/>
    <w:rsid w:val="00F16EDD"/>
    <w:rsid w:val="00F206EA"/>
    <w:rsid w:val="00F20AAE"/>
    <w:rsid w:val="00F22922"/>
    <w:rsid w:val="00F22E7B"/>
    <w:rsid w:val="00F232DE"/>
    <w:rsid w:val="00F24977"/>
    <w:rsid w:val="00F24B2C"/>
    <w:rsid w:val="00F25B22"/>
    <w:rsid w:val="00F25E26"/>
    <w:rsid w:val="00F26279"/>
    <w:rsid w:val="00F266C0"/>
    <w:rsid w:val="00F2705F"/>
    <w:rsid w:val="00F2764C"/>
    <w:rsid w:val="00F27C6C"/>
    <w:rsid w:val="00F27EA6"/>
    <w:rsid w:val="00F33BDF"/>
    <w:rsid w:val="00F33ECE"/>
    <w:rsid w:val="00F35823"/>
    <w:rsid w:val="00F37519"/>
    <w:rsid w:val="00F3755A"/>
    <w:rsid w:val="00F37A62"/>
    <w:rsid w:val="00F37C5D"/>
    <w:rsid w:val="00F4014A"/>
    <w:rsid w:val="00F4129B"/>
    <w:rsid w:val="00F41836"/>
    <w:rsid w:val="00F422FE"/>
    <w:rsid w:val="00F423EA"/>
    <w:rsid w:val="00F43AF9"/>
    <w:rsid w:val="00F43F47"/>
    <w:rsid w:val="00F44502"/>
    <w:rsid w:val="00F45473"/>
    <w:rsid w:val="00F45726"/>
    <w:rsid w:val="00F45A78"/>
    <w:rsid w:val="00F45C89"/>
    <w:rsid w:val="00F465BB"/>
    <w:rsid w:val="00F468B8"/>
    <w:rsid w:val="00F470C3"/>
    <w:rsid w:val="00F5051A"/>
    <w:rsid w:val="00F51A9F"/>
    <w:rsid w:val="00F5201A"/>
    <w:rsid w:val="00F52D4D"/>
    <w:rsid w:val="00F52E60"/>
    <w:rsid w:val="00F537FA"/>
    <w:rsid w:val="00F55246"/>
    <w:rsid w:val="00F60494"/>
    <w:rsid w:val="00F618F1"/>
    <w:rsid w:val="00F62A1B"/>
    <w:rsid w:val="00F633F0"/>
    <w:rsid w:val="00F63717"/>
    <w:rsid w:val="00F650D3"/>
    <w:rsid w:val="00F652AD"/>
    <w:rsid w:val="00F654F6"/>
    <w:rsid w:val="00F658C2"/>
    <w:rsid w:val="00F6643C"/>
    <w:rsid w:val="00F7024F"/>
    <w:rsid w:val="00F707CE"/>
    <w:rsid w:val="00F7098C"/>
    <w:rsid w:val="00F7146A"/>
    <w:rsid w:val="00F72189"/>
    <w:rsid w:val="00F72D25"/>
    <w:rsid w:val="00F73219"/>
    <w:rsid w:val="00F7337D"/>
    <w:rsid w:val="00F73667"/>
    <w:rsid w:val="00F73C7B"/>
    <w:rsid w:val="00F73D39"/>
    <w:rsid w:val="00F7449F"/>
    <w:rsid w:val="00F7454F"/>
    <w:rsid w:val="00F756CF"/>
    <w:rsid w:val="00F75DC7"/>
    <w:rsid w:val="00F7637B"/>
    <w:rsid w:val="00F76AC4"/>
    <w:rsid w:val="00F76BCF"/>
    <w:rsid w:val="00F77CF6"/>
    <w:rsid w:val="00F77E26"/>
    <w:rsid w:val="00F77E37"/>
    <w:rsid w:val="00F80904"/>
    <w:rsid w:val="00F812DE"/>
    <w:rsid w:val="00F82D90"/>
    <w:rsid w:val="00F8335E"/>
    <w:rsid w:val="00F83ABC"/>
    <w:rsid w:val="00F848E0"/>
    <w:rsid w:val="00F8572C"/>
    <w:rsid w:val="00F86133"/>
    <w:rsid w:val="00F86559"/>
    <w:rsid w:val="00F8773B"/>
    <w:rsid w:val="00F87C10"/>
    <w:rsid w:val="00F91E8F"/>
    <w:rsid w:val="00F92280"/>
    <w:rsid w:val="00F941F9"/>
    <w:rsid w:val="00F943CE"/>
    <w:rsid w:val="00F9478D"/>
    <w:rsid w:val="00FA062B"/>
    <w:rsid w:val="00FA0D5C"/>
    <w:rsid w:val="00FA1077"/>
    <w:rsid w:val="00FA21AA"/>
    <w:rsid w:val="00FA47DC"/>
    <w:rsid w:val="00FA6179"/>
    <w:rsid w:val="00FA66DE"/>
    <w:rsid w:val="00FA6C94"/>
    <w:rsid w:val="00FA77BD"/>
    <w:rsid w:val="00FA7CB6"/>
    <w:rsid w:val="00FB071A"/>
    <w:rsid w:val="00FB1824"/>
    <w:rsid w:val="00FB1A16"/>
    <w:rsid w:val="00FB1A1C"/>
    <w:rsid w:val="00FB1E86"/>
    <w:rsid w:val="00FB2692"/>
    <w:rsid w:val="00FB2BF9"/>
    <w:rsid w:val="00FB2E98"/>
    <w:rsid w:val="00FB3B9D"/>
    <w:rsid w:val="00FB45DC"/>
    <w:rsid w:val="00FB5FAE"/>
    <w:rsid w:val="00FB62DE"/>
    <w:rsid w:val="00FB676B"/>
    <w:rsid w:val="00FB6B81"/>
    <w:rsid w:val="00FB743A"/>
    <w:rsid w:val="00FB75B2"/>
    <w:rsid w:val="00FB7FC4"/>
    <w:rsid w:val="00FC0303"/>
    <w:rsid w:val="00FC0F78"/>
    <w:rsid w:val="00FC1267"/>
    <w:rsid w:val="00FC28C3"/>
    <w:rsid w:val="00FC3901"/>
    <w:rsid w:val="00FC430A"/>
    <w:rsid w:val="00FC5120"/>
    <w:rsid w:val="00FC5961"/>
    <w:rsid w:val="00FC5F3D"/>
    <w:rsid w:val="00FC6372"/>
    <w:rsid w:val="00FC6F0E"/>
    <w:rsid w:val="00FD0D95"/>
    <w:rsid w:val="00FD1053"/>
    <w:rsid w:val="00FD15BA"/>
    <w:rsid w:val="00FD3526"/>
    <w:rsid w:val="00FD3C8D"/>
    <w:rsid w:val="00FD428F"/>
    <w:rsid w:val="00FD5713"/>
    <w:rsid w:val="00FD6B38"/>
    <w:rsid w:val="00FD6CF0"/>
    <w:rsid w:val="00FD7CF9"/>
    <w:rsid w:val="00FE0185"/>
    <w:rsid w:val="00FE0DFF"/>
    <w:rsid w:val="00FE12DB"/>
    <w:rsid w:val="00FE2CDD"/>
    <w:rsid w:val="00FE2D52"/>
    <w:rsid w:val="00FE39A9"/>
    <w:rsid w:val="00FE4B86"/>
    <w:rsid w:val="00FE6A77"/>
    <w:rsid w:val="00FF04C6"/>
    <w:rsid w:val="00FF14CA"/>
    <w:rsid w:val="00FF15B8"/>
    <w:rsid w:val="00FF1D41"/>
    <w:rsid w:val="00FF2CC0"/>
    <w:rsid w:val="00FF2F4B"/>
    <w:rsid w:val="00FF3725"/>
    <w:rsid w:val="00FF4EC4"/>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6567"/>
  <w15:docId w15:val="{1DE015DC-AA2F-4BB8-8C5B-D0ED2D4A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C79"/>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670C79"/>
    <w:pPr>
      <w:keepNext/>
      <w:spacing w:line="360" w:lineRule="auto"/>
      <w:outlineLvl w:val="0"/>
    </w:pPr>
    <w:rPr>
      <w:sz w:val="28"/>
    </w:rPr>
  </w:style>
  <w:style w:type="paragraph" w:styleId="Heading2">
    <w:name w:val="heading 2"/>
    <w:basedOn w:val="Normal"/>
    <w:next w:val="Normal"/>
    <w:link w:val="Heading2Char"/>
    <w:qFormat/>
    <w:rsid w:val="00670C79"/>
    <w:pPr>
      <w:keepNext/>
      <w:jc w:val="both"/>
      <w:outlineLvl w:val="1"/>
    </w:pPr>
    <w:rPr>
      <w:sz w:val="28"/>
    </w:rPr>
  </w:style>
  <w:style w:type="paragraph" w:styleId="Heading3">
    <w:name w:val="heading 3"/>
    <w:basedOn w:val="Normal"/>
    <w:next w:val="Normal"/>
    <w:link w:val="Heading3Char"/>
    <w:uiPriority w:val="9"/>
    <w:unhideWhenUsed/>
    <w:qFormat/>
    <w:rsid w:val="00C01DF1"/>
    <w:pPr>
      <w:keepNext/>
      <w:keepLines/>
      <w:spacing w:before="20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qFormat/>
    <w:rsid w:val="00670C79"/>
    <w:pPr>
      <w:keepNext/>
      <w:spacing w:before="120" w:after="120" w:line="360" w:lineRule="auto"/>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C79"/>
    <w:rPr>
      <w:rFonts w:ascii="Times New Roman" w:eastAsia="Times New Roman" w:hAnsi="Times New Roman" w:cs="Times New Roman"/>
      <w:sz w:val="28"/>
      <w:szCs w:val="24"/>
      <w:lang w:val="ro-RO"/>
    </w:rPr>
  </w:style>
  <w:style w:type="character" w:customStyle="1" w:styleId="Heading2Char">
    <w:name w:val="Heading 2 Char"/>
    <w:basedOn w:val="DefaultParagraphFont"/>
    <w:link w:val="Heading2"/>
    <w:rsid w:val="00670C79"/>
    <w:rPr>
      <w:rFonts w:ascii="Times New Roman" w:eastAsia="Times New Roman" w:hAnsi="Times New Roman" w:cs="Times New Roman"/>
      <w:sz w:val="28"/>
      <w:szCs w:val="24"/>
      <w:lang w:val="ro-RO"/>
    </w:rPr>
  </w:style>
  <w:style w:type="character" w:customStyle="1" w:styleId="Heading6Char">
    <w:name w:val="Heading 6 Char"/>
    <w:basedOn w:val="DefaultParagraphFont"/>
    <w:link w:val="Heading6"/>
    <w:rsid w:val="00670C79"/>
    <w:rPr>
      <w:rFonts w:ascii="Times New Roman" w:eastAsia="Times New Roman" w:hAnsi="Times New Roman" w:cs="Times New Roman"/>
      <w:b/>
      <w:sz w:val="28"/>
      <w:szCs w:val="24"/>
      <w:lang w:val="ro-RO"/>
    </w:rPr>
  </w:style>
  <w:style w:type="paragraph" w:styleId="BodyTextIndent2">
    <w:name w:val="Body Text Indent 2"/>
    <w:basedOn w:val="Normal"/>
    <w:link w:val="BodyTextIndent2Char"/>
    <w:semiHidden/>
    <w:rsid w:val="00670C79"/>
    <w:pPr>
      <w:spacing w:before="120" w:after="120" w:line="360" w:lineRule="auto"/>
      <w:ind w:firstLine="357"/>
    </w:pPr>
    <w:rPr>
      <w:b/>
      <w:bCs/>
      <w:sz w:val="28"/>
    </w:rPr>
  </w:style>
  <w:style w:type="character" w:customStyle="1" w:styleId="BodyTextIndent2Char">
    <w:name w:val="Body Text Indent 2 Char"/>
    <w:basedOn w:val="DefaultParagraphFont"/>
    <w:link w:val="BodyTextIndent2"/>
    <w:semiHidden/>
    <w:rsid w:val="00670C79"/>
    <w:rPr>
      <w:rFonts w:ascii="Times New Roman" w:eastAsia="Times New Roman" w:hAnsi="Times New Roman" w:cs="Times New Roman"/>
      <w:b/>
      <w:bCs/>
      <w:sz w:val="28"/>
      <w:szCs w:val="24"/>
      <w:lang w:val="ro-RO"/>
    </w:rPr>
  </w:style>
  <w:style w:type="paragraph" w:styleId="BodyText2">
    <w:name w:val="Body Text 2"/>
    <w:basedOn w:val="Normal"/>
    <w:link w:val="BodyText2Char"/>
    <w:semiHidden/>
    <w:rsid w:val="00670C79"/>
    <w:pPr>
      <w:jc w:val="both"/>
    </w:pPr>
    <w:rPr>
      <w:sz w:val="28"/>
    </w:rPr>
  </w:style>
  <w:style w:type="character" w:customStyle="1" w:styleId="BodyText2Char">
    <w:name w:val="Body Text 2 Char"/>
    <w:basedOn w:val="DefaultParagraphFont"/>
    <w:link w:val="BodyText2"/>
    <w:semiHidden/>
    <w:rsid w:val="00670C79"/>
    <w:rPr>
      <w:rFonts w:ascii="Times New Roman" w:eastAsia="Times New Roman" w:hAnsi="Times New Roman" w:cs="Times New Roman"/>
      <w:sz w:val="28"/>
      <w:szCs w:val="24"/>
      <w:lang w:val="ro-RO"/>
    </w:rPr>
  </w:style>
  <w:style w:type="paragraph" w:styleId="Title">
    <w:name w:val="Title"/>
    <w:basedOn w:val="Normal"/>
    <w:link w:val="TitleChar"/>
    <w:qFormat/>
    <w:rsid w:val="00670C79"/>
    <w:pPr>
      <w:spacing w:line="360" w:lineRule="auto"/>
      <w:jc w:val="center"/>
    </w:pPr>
    <w:rPr>
      <w:b/>
      <w:sz w:val="32"/>
      <w:szCs w:val="32"/>
    </w:rPr>
  </w:style>
  <w:style w:type="character" w:customStyle="1" w:styleId="TitleChar">
    <w:name w:val="Title Char"/>
    <w:basedOn w:val="DefaultParagraphFont"/>
    <w:link w:val="Title"/>
    <w:rsid w:val="00670C79"/>
    <w:rPr>
      <w:rFonts w:ascii="Times New Roman" w:eastAsia="Times New Roman" w:hAnsi="Times New Roman" w:cs="Times New Roman"/>
      <w:b/>
      <w:sz w:val="32"/>
      <w:szCs w:val="32"/>
      <w:lang w:val="ro-RO"/>
    </w:rPr>
  </w:style>
  <w:style w:type="paragraph" w:styleId="Footer">
    <w:name w:val="footer"/>
    <w:basedOn w:val="Normal"/>
    <w:link w:val="FooterChar"/>
    <w:uiPriority w:val="99"/>
    <w:rsid w:val="00670C79"/>
    <w:pPr>
      <w:tabs>
        <w:tab w:val="center" w:pos="4536"/>
        <w:tab w:val="right" w:pos="9072"/>
      </w:tabs>
    </w:pPr>
  </w:style>
  <w:style w:type="character" w:customStyle="1" w:styleId="FooterChar">
    <w:name w:val="Footer Char"/>
    <w:basedOn w:val="DefaultParagraphFont"/>
    <w:link w:val="Footer"/>
    <w:uiPriority w:val="99"/>
    <w:rsid w:val="00670C79"/>
    <w:rPr>
      <w:rFonts w:ascii="Times New Roman" w:eastAsia="Times New Roman" w:hAnsi="Times New Roman" w:cs="Times New Roman"/>
      <w:sz w:val="24"/>
      <w:szCs w:val="24"/>
      <w:lang w:val="ro-RO"/>
    </w:rPr>
  </w:style>
  <w:style w:type="character" w:styleId="PageNumber">
    <w:name w:val="page number"/>
    <w:basedOn w:val="DefaultParagraphFont"/>
    <w:rsid w:val="00670C79"/>
  </w:style>
  <w:style w:type="table" w:styleId="TableGrid">
    <w:name w:val="Table Grid"/>
    <w:basedOn w:val="TableNormal"/>
    <w:uiPriority w:val="39"/>
    <w:rsid w:val="00670C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7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o-RO"/>
    </w:rPr>
  </w:style>
  <w:style w:type="character" w:customStyle="1" w:styleId="HTMLPreformattedChar">
    <w:name w:val="HTML Preformatted Char"/>
    <w:basedOn w:val="DefaultParagraphFont"/>
    <w:link w:val="HTMLPreformatted"/>
    <w:uiPriority w:val="99"/>
    <w:rsid w:val="00670C79"/>
    <w:rPr>
      <w:rFonts w:ascii="Courier New" w:eastAsia="Times New Roman" w:hAnsi="Courier New" w:cs="Courier New"/>
      <w:sz w:val="20"/>
      <w:szCs w:val="20"/>
      <w:lang w:val="ro-RO" w:eastAsia="ro-RO"/>
    </w:rPr>
  </w:style>
  <w:style w:type="paragraph" w:styleId="NoSpacing">
    <w:name w:val="No Spacing"/>
    <w:link w:val="NoSpacingChar"/>
    <w:qFormat/>
    <w:rsid w:val="00966D02"/>
    <w:pPr>
      <w:spacing w:after="0" w:line="240" w:lineRule="auto"/>
    </w:pPr>
    <w:rPr>
      <w:rFonts w:ascii="Calibri" w:eastAsia="Calibri" w:hAnsi="Calibri" w:cs="Times New Roman"/>
    </w:rPr>
  </w:style>
  <w:style w:type="character" w:customStyle="1" w:styleId="NoSpacingChar">
    <w:name w:val="No Spacing Char"/>
    <w:link w:val="NoSpacing"/>
    <w:locked/>
    <w:rsid w:val="00966D02"/>
    <w:rPr>
      <w:rFonts w:ascii="Calibri" w:eastAsia="Calibri" w:hAnsi="Calibri" w:cs="Times New Roman"/>
    </w:rPr>
  </w:style>
  <w:style w:type="paragraph" w:styleId="BalloonText">
    <w:name w:val="Balloon Text"/>
    <w:basedOn w:val="Normal"/>
    <w:link w:val="BalloonTextChar"/>
    <w:uiPriority w:val="99"/>
    <w:semiHidden/>
    <w:unhideWhenUsed/>
    <w:rsid w:val="00BA4E0F"/>
    <w:rPr>
      <w:rFonts w:ascii="Tahoma" w:hAnsi="Tahoma" w:cs="Tahoma"/>
      <w:sz w:val="16"/>
      <w:szCs w:val="16"/>
    </w:rPr>
  </w:style>
  <w:style w:type="character" w:customStyle="1" w:styleId="BalloonTextChar">
    <w:name w:val="Balloon Text Char"/>
    <w:basedOn w:val="DefaultParagraphFont"/>
    <w:link w:val="BalloonText"/>
    <w:uiPriority w:val="99"/>
    <w:semiHidden/>
    <w:rsid w:val="00BA4E0F"/>
    <w:rPr>
      <w:rFonts w:ascii="Tahoma" w:eastAsia="Times New Roman" w:hAnsi="Tahoma" w:cs="Tahoma"/>
      <w:sz w:val="16"/>
      <w:szCs w:val="16"/>
      <w:lang w:val="ro-RO"/>
    </w:rPr>
  </w:style>
  <w:style w:type="character" w:styleId="CommentReference">
    <w:name w:val="annotation reference"/>
    <w:basedOn w:val="DefaultParagraphFont"/>
    <w:unhideWhenUsed/>
    <w:rsid w:val="00CE7B3A"/>
    <w:rPr>
      <w:sz w:val="16"/>
      <w:szCs w:val="16"/>
    </w:rPr>
  </w:style>
  <w:style w:type="paragraph" w:styleId="CommentText">
    <w:name w:val="annotation text"/>
    <w:basedOn w:val="Normal"/>
    <w:link w:val="CommentTextChar"/>
    <w:uiPriority w:val="99"/>
    <w:unhideWhenUsed/>
    <w:rsid w:val="00CE7B3A"/>
    <w:rPr>
      <w:sz w:val="20"/>
      <w:szCs w:val="20"/>
    </w:rPr>
  </w:style>
  <w:style w:type="character" w:customStyle="1" w:styleId="CommentTextChar">
    <w:name w:val="Comment Text Char"/>
    <w:basedOn w:val="DefaultParagraphFont"/>
    <w:link w:val="CommentText"/>
    <w:uiPriority w:val="99"/>
    <w:rsid w:val="00CE7B3A"/>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CE7B3A"/>
    <w:rPr>
      <w:b/>
      <w:bCs/>
    </w:rPr>
  </w:style>
  <w:style w:type="character" w:customStyle="1" w:styleId="CommentSubjectChar">
    <w:name w:val="Comment Subject Char"/>
    <w:basedOn w:val="CommentTextChar"/>
    <w:link w:val="CommentSubject"/>
    <w:uiPriority w:val="99"/>
    <w:semiHidden/>
    <w:rsid w:val="00CE7B3A"/>
    <w:rPr>
      <w:rFonts w:ascii="Times New Roman" w:eastAsia="Times New Roman" w:hAnsi="Times New Roman" w:cs="Times New Roman"/>
      <w:b/>
      <w:bCs/>
      <w:sz w:val="20"/>
      <w:szCs w:val="20"/>
      <w:lang w:val="ro-RO"/>
    </w:rPr>
  </w:style>
  <w:style w:type="character" w:customStyle="1" w:styleId="Heading3Char">
    <w:name w:val="Heading 3 Char"/>
    <w:basedOn w:val="DefaultParagraphFont"/>
    <w:link w:val="Heading3"/>
    <w:uiPriority w:val="9"/>
    <w:rsid w:val="00C01DF1"/>
    <w:rPr>
      <w:rFonts w:asciiTheme="majorHAnsi" w:eastAsiaTheme="majorEastAsia" w:hAnsiTheme="majorHAnsi" w:cstheme="majorBidi"/>
      <w:b/>
      <w:bCs/>
      <w:color w:val="5B9BD5" w:themeColor="accent1"/>
      <w:sz w:val="24"/>
      <w:szCs w:val="24"/>
      <w:lang w:val="ro-RO"/>
    </w:rPr>
  </w:style>
  <w:style w:type="paragraph" w:styleId="ListParagraph">
    <w:name w:val="List Paragraph"/>
    <w:aliases w:val="Normal bullet 2,List Paragraph1,List1,body 2,List Paragraph11,Listă colorată - Accentuare 11,Bullet,Citation List,Forth level,List Paragraph compact,Paragraphe de liste 2,Reference list,Bullet list,Numbered List,Lettre d'introduction,L,2"/>
    <w:basedOn w:val="Normal"/>
    <w:link w:val="ListParagraphChar"/>
    <w:uiPriority w:val="34"/>
    <w:qFormat/>
    <w:rsid w:val="00CD681E"/>
    <w:pPr>
      <w:ind w:left="720"/>
      <w:contextualSpacing/>
    </w:pPr>
    <w:rPr>
      <w:rFonts w:asciiTheme="minorHAnsi" w:eastAsiaTheme="minorHAnsi" w:hAnsiTheme="minorHAnsi" w:cstheme="minorBidi"/>
    </w:rPr>
  </w:style>
  <w:style w:type="character" w:customStyle="1" w:styleId="ListParagraphChar">
    <w:name w:val="List Paragraph Char"/>
    <w:aliases w:val="Normal bullet 2 Char,List Paragraph1 Char,List1 Char,body 2 Char,List Paragraph11 Char,Listă colorată - Accentuare 11 Char,Bullet Char,Citation List Char,Forth level Char,List Paragraph compact Char,Paragraphe de liste 2 Char,L Char"/>
    <w:link w:val="ListParagraph"/>
    <w:uiPriority w:val="34"/>
    <w:qFormat/>
    <w:locked/>
    <w:rsid w:val="009B71DC"/>
    <w:rPr>
      <w:sz w:val="24"/>
      <w:szCs w:val="24"/>
      <w:lang w:val="ro-RO"/>
    </w:rPr>
  </w:style>
  <w:style w:type="character" w:customStyle="1" w:styleId="ColorfulList-Accent1Char">
    <w:name w:val="Colorful List - Accent 1 Char"/>
    <w:link w:val="ColorfulList-Accent1"/>
    <w:uiPriority w:val="34"/>
    <w:locked/>
    <w:rsid w:val="009B71DC"/>
    <w:rPr>
      <w:noProof/>
      <w:sz w:val="24"/>
      <w:szCs w:val="24"/>
      <w:lang w:val="ro-RO"/>
    </w:rPr>
  </w:style>
  <w:style w:type="table" w:styleId="ColorfulList-Accent1">
    <w:name w:val="Colorful List Accent 1"/>
    <w:basedOn w:val="TableNormal"/>
    <w:link w:val="ColorfulList-Accent1Char"/>
    <w:uiPriority w:val="34"/>
    <w:rsid w:val="009B71DC"/>
    <w:pPr>
      <w:spacing w:after="0" w:line="240" w:lineRule="auto"/>
    </w:pPr>
    <w:rPr>
      <w:noProof/>
      <w:sz w:val="24"/>
      <w:szCs w:val="24"/>
      <w:lang w:val="ro-RO"/>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BA47F0"/>
    <w:pPr>
      <w:tabs>
        <w:tab w:val="center" w:pos="4536"/>
        <w:tab w:val="right" w:pos="9072"/>
      </w:tabs>
    </w:pPr>
  </w:style>
  <w:style w:type="character" w:customStyle="1" w:styleId="HeaderChar">
    <w:name w:val="Header Char"/>
    <w:basedOn w:val="DefaultParagraphFont"/>
    <w:link w:val="Header"/>
    <w:uiPriority w:val="99"/>
    <w:rsid w:val="00BA47F0"/>
    <w:rPr>
      <w:rFonts w:ascii="Times New Roman" w:eastAsia="Times New Roman" w:hAnsi="Times New Roman" w:cs="Times New Roman"/>
      <w:sz w:val="24"/>
      <w:szCs w:val="24"/>
      <w:lang w:val="ro-RO"/>
    </w:rPr>
  </w:style>
  <w:style w:type="character" w:customStyle="1" w:styleId="panchor">
    <w:name w:val="panchor"/>
    <w:basedOn w:val="DefaultParagraphFont"/>
    <w:rsid w:val="00161A61"/>
  </w:style>
  <w:style w:type="character" w:styleId="Hyperlink">
    <w:name w:val="Hyperlink"/>
    <w:basedOn w:val="DefaultParagraphFont"/>
    <w:uiPriority w:val="99"/>
    <w:unhideWhenUsed/>
    <w:rsid w:val="001B7961"/>
    <w:rPr>
      <w:color w:val="0000FF"/>
      <w:u w:val="single"/>
    </w:rPr>
  </w:style>
  <w:style w:type="character" w:customStyle="1" w:styleId="slgi">
    <w:name w:val="s_lgi"/>
    <w:basedOn w:val="DefaultParagraphFont"/>
    <w:rsid w:val="00EF067B"/>
  </w:style>
  <w:style w:type="paragraph" w:styleId="Revision">
    <w:name w:val="Revision"/>
    <w:hidden/>
    <w:uiPriority w:val="99"/>
    <w:semiHidden/>
    <w:rsid w:val="00E51892"/>
    <w:pPr>
      <w:spacing w:after="0" w:line="240" w:lineRule="auto"/>
    </w:pPr>
    <w:rPr>
      <w:rFonts w:ascii="Times New Roman" w:eastAsia="Times New Roman" w:hAnsi="Times New Roman" w:cs="Times New Roman"/>
      <w:sz w:val="24"/>
      <w:szCs w:val="24"/>
      <w:lang w:val="ro-RO"/>
    </w:rPr>
  </w:style>
  <w:style w:type="table" w:customStyle="1" w:styleId="TableGrid1">
    <w:name w:val="Table Grid1"/>
    <w:basedOn w:val="TableNormal"/>
    <w:next w:val="TableGrid"/>
    <w:uiPriority w:val="59"/>
    <w:rsid w:val="00357F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561EC"/>
    <w:rPr>
      <w:color w:val="605E5C"/>
      <w:shd w:val="clear" w:color="auto" w:fill="E1DFDD"/>
    </w:rPr>
  </w:style>
  <w:style w:type="paragraph" w:customStyle="1" w:styleId="Default">
    <w:name w:val="Default"/>
    <w:rsid w:val="00406B07"/>
    <w:pPr>
      <w:autoSpaceDE w:val="0"/>
      <w:autoSpaceDN w:val="0"/>
      <w:adjustRightInd w:val="0"/>
      <w:spacing w:after="0" w:line="240" w:lineRule="auto"/>
    </w:pPr>
    <w:rPr>
      <w:rFonts w:ascii="EUAlbertina" w:hAnsi="EUAlbertina" w:cs="EUAlbertina"/>
      <w:color w:val="000000"/>
      <w:sz w:val="24"/>
      <w:szCs w:val="24"/>
    </w:rPr>
  </w:style>
  <w:style w:type="paragraph" w:styleId="Quote">
    <w:name w:val="Quote"/>
    <w:basedOn w:val="Normal"/>
    <w:next w:val="Normal"/>
    <w:link w:val="QuoteChar"/>
    <w:uiPriority w:val="29"/>
    <w:qFormat/>
    <w:rsid w:val="00F63717"/>
    <w:pPr>
      <w:spacing w:before="200" w:after="160"/>
      <w:ind w:left="864" w:right="864"/>
      <w:jc w:val="center"/>
    </w:pPr>
    <w:rPr>
      <w:i/>
      <w:iCs/>
      <w:color w:val="404040" w:themeColor="text1" w:themeTint="BF"/>
      <w:lang w:val="en-US"/>
    </w:rPr>
  </w:style>
  <w:style w:type="character" w:customStyle="1" w:styleId="QuoteChar">
    <w:name w:val="Quote Char"/>
    <w:basedOn w:val="DefaultParagraphFont"/>
    <w:link w:val="Quote"/>
    <w:uiPriority w:val="29"/>
    <w:rsid w:val="00F63717"/>
    <w:rPr>
      <w:rFonts w:ascii="Times New Roman" w:eastAsia="Times New Roman" w:hAnsi="Times New Roman" w:cs="Times New Roman"/>
      <w:i/>
      <w:iCs/>
      <w:color w:val="404040" w:themeColor="text1" w:themeTint="BF"/>
      <w:sz w:val="24"/>
      <w:szCs w:val="24"/>
    </w:rPr>
  </w:style>
  <w:style w:type="paragraph" w:styleId="NormalWeb">
    <w:name w:val="Normal (Web)"/>
    <w:basedOn w:val="Normal"/>
    <w:uiPriority w:val="99"/>
    <w:unhideWhenUsed/>
    <w:rsid w:val="006B45F3"/>
    <w:pPr>
      <w:spacing w:before="100" w:beforeAutospacing="1" w:after="100" w:afterAutospacing="1"/>
    </w:pPr>
    <w:rPr>
      <w:rFonts w:eastAsiaTheme="minorEastAsia"/>
      <w:lang w:eastAsia="ro-RO"/>
    </w:rPr>
  </w:style>
  <w:style w:type="character" w:customStyle="1" w:styleId="spar">
    <w:name w:val="s_par"/>
    <w:basedOn w:val="DefaultParagraphFont"/>
    <w:rsid w:val="006B45F3"/>
  </w:style>
  <w:style w:type="character" w:customStyle="1" w:styleId="slit">
    <w:name w:val="s_lit"/>
    <w:basedOn w:val="DefaultParagraphFont"/>
    <w:rsid w:val="006B45F3"/>
  </w:style>
  <w:style w:type="character" w:customStyle="1" w:styleId="slitttl">
    <w:name w:val="s_lit_ttl"/>
    <w:basedOn w:val="DefaultParagraphFont"/>
    <w:rsid w:val="006B45F3"/>
  </w:style>
  <w:style w:type="character" w:customStyle="1" w:styleId="slitbdy">
    <w:name w:val="s_lit_bdy"/>
    <w:basedOn w:val="DefaultParagraphFont"/>
    <w:rsid w:val="006B45F3"/>
  </w:style>
  <w:style w:type="character" w:styleId="Strong">
    <w:name w:val="Strong"/>
    <w:basedOn w:val="DefaultParagraphFont"/>
    <w:uiPriority w:val="22"/>
    <w:qFormat/>
    <w:rsid w:val="000850EC"/>
    <w:rPr>
      <w:b/>
      <w:bCs/>
    </w:rPr>
  </w:style>
  <w:style w:type="character" w:customStyle="1" w:styleId="saln">
    <w:name w:val="s_aln"/>
    <w:basedOn w:val="DefaultParagraphFont"/>
    <w:rsid w:val="004016B0"/>
  </w:style>
  <w:style w:type="character" w:customStyle="1" w:styleId="salnttl">
    <w:name w:val="s_aln_ttl"/>
    <w:basedOn w:val="DefaultParagraphFont"/>
    <w:rsid w:val="004016B0"/>
  </w:style>
  <w:style w:type="character" w:customStyle="1" w:styleId="salnbdy">
    <w:name w:val="s_aln_bdy"/>
    <w:basedOn w:val="DefaultParagraphFont"/>
    <w:rsid w:val="004016B0"/>
  </w:style>
  <w:style w:type="character" w:customStyle="1" w:styleId="sartttl">
    <w:name w:val="s_art_ttl"/>
    <w:basedOn w:val="DefaultParagraphFont"/>
    <w:rsid w:val="00E715FE"/>
  </w:style>
  <w:style w:type="paragraph" w:customStyle="1" w:styleId="al">
    <w:name w:val="a_l"/>
    <w:basedOn w:val="Normal"/>
    <w:rsid w:val="004265FB"/>
    <w:pPr>
      <w:spacing w:before="100" w:beforeAutospacing="1" w:after="100" w:afterAutospacing="1"/>
    </w:pPr>
    <w:rPr>
      <w:lang w:eastAsia="ro-RO"/>
    </w:rPr>
  </w:style>
  <w:style w:type="character" w:styleId="Emphasis">
    <w:name w:val="Emphasis"/>
    <w:basedOn w:val="DefaultParagraphFont"/>
    <w:uiPriority w:val="20"/>
    <w:qFormat/>
    <w:rsid w:val="00411A59"/>
    <w:rPr>
      <w:i/>
      <w:iCs/>
    </w:rPr>
  </w:style>
  <w:style w:type="character" w:styleId="UnresolvedMention">
    <w:name w:val="Unresolved Mention"/>
    <w:basedOn w:val="DefaultParagraphFont"/>
    <w:uiPriority w:val="99"/>
    <w:semiHidden/>
    <w:unhideWhenUsed/>
    <w:rsid w:val="00E71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802">
      <w:bodyDiv w:val="1"/>
      <w:marLeft w:val="0"/>
      <w:marRight w:val="0"/>
      <w:marTop w:val="0"/>
      <w:marBottom w:val="0"/>
      <w:divBdr>
        <w:top w:val="none" w:sz="0" w:space="0" w:color="auto"/>
        <w:left w:val="none" w:sz="0" w:space="0" w:color="auto"/>
        <w:bottom w:val="none" w:sz="0" w:space="0" w:color="auto"/>
        <w:right w:val="none" w:sz="0" w:space="0" w:color="auto"/>
      </w:divBdr>
    </w:div>
    <w:div w:id="45764007">
      <w:bodyDiv w:val="1"/>
      <w:marLeft w:val="0"/>
      <w:marRight w:val="0"/>
      <w:marTop w:val="0"/>
      <w:marBottom w:val="0"/>
      <w:divBdr>
        <w:top w:val="none" w:sz="0" w:space="0" w:color="auto"/>
        <w:left w:val="none" w:sz="0" w:space="0" w:color="auto"/>
        <w:bottom w:val="none" w:sz="0" w:space="0" w:color="auto"/>
        <w:right w:val="none" w:sz="0" w:space="0" w:color="auto"/>
      </w:divBdr>
    </w:div>
    <w:div w:id="109588509">
      <w:bodyDiv w:val="1"/>
      <w:marLeft w:val="0"/>
      <w:marRight w:val="0"/>
      <w:marTop w:val="0"/>
      <w:marBottom w:val="0"/>
      <w:divBdr>
        <w:top w:val="none" w:sz="0" w:space="0" w:color="auto"/>
        <w:left w:val="none" w:sz="0" w:space="0" w:color="auto"/>
        <w:bottom w:val="none" w:sz="0" w:space="0" w:color="auto"/>
        <w:right w:val="none" w:sz="0" w:space="0" w:color="auto"/>
      </w:divBdr>
    </w:div>
    <w:div w:id="163595865">
      <w:bodyDiv w:val="1"/>
      <w:marLeft w:val="0"/>
      <w:marRight w:val="0"/>
      <w:marTop w:val="0"/>
      <w:marBottom w:val="0"/>
      <w:divBdr>
        <w:top w:val="none" w:sz="0" w:space="0" w:color="auto"/>
        <w:left w:val="none" w:sz="0" w:space="0" w:color="auto"/>
        <w:bottom w:val="none" w:sz="0" w:space="0" w:color="auto"/>
        <w:right w:val="none" w:sz="0" w:space="0" w:color="auto"/>
      </w:divBdr>
    </w:div>
    <w:div w:id="168638186">
      <w:bodyDiv w:val="1"/>
      <w:marLeft w:val="0"/>
      <w:marRight w:val="0"/>
      <w:marTop w:val="0"/>
      <w:marBottom w:val="0"/>
      <w:divBdr>
        <w:top w:val="none" w:sz="0" w:space="0" w:color="auto"/>
        <w:left w:val="none" w:sz="0" w:space="0" w:color="auto"/>
        <w:bottom w:val="none" w:sz="0" w:space="0" w:color="auto"/>
        <w:right w:val="none" w:sz="0" w:space="0" w:color="auto"/>
      </w:divBdr>
    </w:div>
    <w:div w:id="186409884">
      <w:bodyDiv w:val="1"/>
      <w:marLeft w:val="0"/>
      <w:marRight w:val="0"/>
      <w:marTop w:val="0"/>
      <w:marBottom w:val="0"/>
      <w:divBdr>
        <w:top w:val="none" w:sz="0" w:space="0" w:color="auto"/>
        <w:left w:val="none" w:sz="0" w:space="0" w:color="auto"/>
        <w:bottom w:val="none" w:sz="0" w:space="0" w:color="auto"/>
        <w:right w:val="none" w:sz="0" w:space="0" w:color="auto"/>
      </w:divBdr>
    </w:div>
    <w:div w:id="196622305">
      <w:bodyDiv w:val="1"/>
      <w:marLeft w:val="0"/>
      <w:marRight w:val="0"/>
      <w:marTop w:val="0"/>
      <w:marBottom w:val="0"/>
      <w:divBdr>
        <w:top w:val="none" w:sz="0" w:space="0" w:color="auto"/>
        <w:left w:val="none" w:sz="0" w:space="0" w:color="auto"/>
        <w:bottom w:val="none" w:sz="0" w:space="0" w:color="auto"/>
        <w:right w:val="none" w:sz="0" w:space="0" w:color="auto"/>
      </w:divBdr>
    </w:div>
    <w:div w:id="239146838">
      <w:bodyDiv w:val="1"/>
      <w:marLeft w:val="0"/>
      <w:marRight w:val="0"/>
      <w:marTop w:val="0"/>
      <w:marBottom w:val="0"/>
      <w:divBdr>
        <w:top w:val="none" w:sz="0" w:space="0" w:color="auto"/>
        <w:left w:val="none" w:sz="0" w:space="0" w:color="auto"/>
        <w:bottom w:val="none" w:sz="0" w:space="0" w:color="auto"/>
        <w:right w:val="none" w:sz="0" w:space="0" w:color="auto"/>
      </w:divBdr>
    </w:div>
    <w:div w:id="257182695">
      <w:bodyDiv w:val="1"/>
      <w:marLeft w:val="0"/>
      <w:marRight w:val="0"/>
      <w:marTop w:val="0"/>
      <w:marBottom w:val="0"/>
      <w:divBdr>
        <w:top w:val="none" w:sz="0" w:space="0" w:color="auto"/>
        <w:left w:val="none" w:sz="0" w:space="0" w:color="auto"/>
        <w:bottom w:val="none" w:sz="0" w:space="0" w:color="auto"/>
        <w:right w:val="none" w:sz="0" w:space="0" w:color="auto"/>
      </w:divBdr>
    </w:div>
    <w:div w:id="264387125">
      <w:bodyDiv w:val="1"/>
      <w:marLeft w:val="0"/>
      <w:marRight w:val="0"/>
      <w:marTop w:val="0"/>
      <w:marBottom w:val="0"/>
      <w:divBdr>
        <w:top w:val="none" w:sz="0" w:space="0" w:color="auto"/>
        <w:left w:val="none" w:sz="0" w:space="0" w:color="auto"/>
        <w:bottom w:val="none" w:sz="0" w:space="0" w:color="auto"/>
        <w:right w:val="none" w:sz="0" w:space="0" w:color="auto"/>
      </w:divBdr>
    </w:div>
    <w:div w:id="274027299">
      <w:bodyDiv w:val="1"/>
      <w:marLeft w:val="0"/>
      <w:marRight w:val="0"/>
      <w:marTop w:val="0"/>
      <w:marBottom w:val="0"/>
      <w:divBdr>
        <w:top w:val="none" w:sz="0" w:space="0" w:color="auto"/>
        <w:left w:val="none" w:sz="0" w:space="0" w:color="auto"/>
        <w:bottom w:val="none" w:sz="0" w:space="0" w:color="auto"/>
        <w:right w:val="none" w:sz="0" w:space="0" w:color="auto"/>
      </w:divBdr>
    </w:div>
    <w:div w:id="341670646">
      <w:bodyDiv w:val="1"/>
      <w:marLeft w:val="0"/>
      <w:marRight w:val="0"/>
      <w:marTop w:val="0"/>
      <w:marBottom w:val="0"/>
      <w:divBdr>
        <w:top w:val="none" w:sz="0" w:space="0" w:color="auto"/>
        <w:left w:val="none" w:sz="0" w:space="0" w:color="auto"/>
        <w:bottom w:val="none" w:sz="0" w:space="0" w:color="auto"/>
        <w:right w:val="none" w:sz="0" w:space="0" w:color="auto"/>
      </w:divBdr>
    </w:div>
    <w:div w:id="356002091">
      <w:bodyDiv w:val="1"/>
      <w:marLeft w:val="0"/>
      <w:marRight w:val="0"/>
      <w:marTop w:val="0"/>
      <w:marBottom w:val="0"/>
      <w:divBdr>
        <w:top w:val="none" w:sz="0" w:space="0" w:color="auto"/>
        <w:left w:val="none" w:sz="0" w:space="0" w:color="auto"/>
        <w:bottom w:val="none" w:sz="0" w:space="0" w:color="auto"/>
        <w:right w:val="none" w:sz="0" w:space="0" w:color="auto"/>
      </w:divBdr>
    </w:div>
    <w:div w:id="362486719">
      <w:bodyDiv w:val="1"/>
      <w:marLeft w:val="0"/>
      <w:marRight w:val="0"/>
      <w:marTop w:val="0"/>
      <w:marBottom w:val="0"/>
      <w:divBdr>
        <w:top w:val="none" w:sz="0" w:space="0" w:color="auto"/>
        <w:left w:val="none" w:sz="0" w:space="0" w:color="auto"/>
        <w:bottom w:val="none" w:sz="0" w:space="0" w:color="auto"/>
        <w:right w:val="none" w:sz="0" w:space="0" w:color="auto"/>
      </w:divBdr>
    </w:div>
    <w:div w:id="373122914">
      <w:bodyDiv w:val="1"/>
      <w:marLeft w:val="0"/>
      <w:marRight w:val="0"/>
      <w:marTop w:val="0"/>
      <w:marBottom w:val="0"/>
      <w:divBdr>
        <w:top w:val="none" w:sz="0" w:space="0" w:color="auto"/>
        <w:left w:val="none" w:sz="0" w:space="0" w:color="auto"/>
        <w:bottom w:val="none" w:sz="0" w:space="0" w:color="auto"/>
        <w:right w:val="none" w:sz="0" w:space="0" w:color="auto"/>
      </w:divBdr>
    </w:div>
    <w:div w:id="398329692">
      <w:bodyDiv w:val="1"/>
      <w:marLeft w:val="0"/>
      <w:marRight w:val="0"/>
      <w:marTop w:val="0"/>
      <w:marBottom w:val="0"/>
      <w:divBdr>
        <w:top w:val="none" w:sz="0" w:space="0" w:color="auto"/>
        <w:left w:val="none" w:sz="0" w:space="0" w:color="auto"/>
        <w:bottom w:val="none" w:sz="0" w:space="0" w:color="auto"/>
        <w:right w:val="none" w:sz="0" w:space="0" w:color="auto"/>
      </w:divBdr>
    </w:div>
    <w:div w:id="435490971">
      <w:bodyDiv w:val="1"/>
      <w:marLeft w:val="0"/>
      <w:marRight w:val="0"/>
      <w:marTop w:val="0"/>
      <w:marBottom w:val="0"/>
      <w:divBdr>
        <w:top w:val="none" w:sz="0" w:space="0" w:color="auto"/>
        <w:left w:val="none" w:sz="0" w:space="0" w:color="auto"/>
        <w:bottom w:val="none" w:sz="0" w:space="0" w:color="auto"/>
        <w:right w:val="none" w:sz="0" w:space="0" w:color="auto"/>
      </w:divBdr>
    </w:div>
    <w:div w:id="472066420">
      <w:bodyDiv w:val="1"/>
      <w:marLeft w:val="0"/>
      <w:marRight w:val="0"/>
      <w:marTop w:val="0"/>
      <w:marBottom w:val="0"/>
      <w:divBdr>
        <w:top w:val="none" w:sz="0" w:space="0" w:color="auto"/>
        <w:left w:val="none" w:sz="0" w:space="0" w:color="auto"/>
        <w:bottom w:val="none" w:sz="0" w:space="0" w:color="auto"/>
        <w:right w:val="none" w:sz="0" w:space="0" w:color="auto"/>
      </w:divBdr>
    </w:div>
    <w:div w:id="484277085">
      <w:bodyDiv w:val="1"/>
      <w:marLeft w:val="0"/>
      <w:marRight w:val="0"/>
      <w:marTop w:val="0"/>
      <w:marBottom w:val="0"/>
      <w:divBdr>
        <w:top w:val="none" w:sz="0" w:space="0" w:color="auto"/>
        <w:left w:val="none" w:sz="0" w:space="0" w:color="auto"/>
        <w:bottom w:val="none" w:sz="0" w:space="0" w:color="auto"/>
        <w:right w:val="none" w:sz="0" w:space="0" w:color="auto"/>
      </w:divBdr>
    </w:div>
    <w:div w:id="648753987">
      <w:bodyDiv w:val="1"/>
      <w:marLeft w:val="0"/>
      <w:marRight w:val="0"/>
      <w:marTop w:val="0"/>
      <w:marBottom w:val="0"/>
      <w:divBdr>
        <w:top w:val="none" w:sz="0" w:space="0" w:color="auto"/>
        <w:left w:val="none" w:sz="0" w:space="0" w:color="auto"/>
        <w:bottom w:val="none" w:sz="0" w:space="0" w:color="auto"/>
        <w:right w:val="none" w:sz="0" w:space="0" w:color="auto"/>
      </w:divBdr>
    </w:div>
    <w:div w:id="655841619">
      <w:bodyDiv w:val="1"/>
      <w:marLeft w:val="0"/>
      <w:marRight w:val="0"/>
      <w:marTop w:val="0"/>
      <w:marBottom w:val="0"/>
      <w:divBdr>
        <w:top w:val="none" w:sz="0" w:space="0" w:color="auto"/>
        <w:left w:val="none" w:sz="0" w:space="0" w:color="auto"/>
        <w:bottom w:val="none" w:sz="0" w:space="0" w:color="auto"/>
        <w:right w:val="none" w:sz="0" w:space="0" w:color="auto"/>
      </w:divBdr>
    </w:div>
    <w:div w:id="724794826">
      <w:bodyDiv w:val="1"/>
      <w:marLeft w:val="0"/>
      <w:marRight w:val="0"/>
      <w:marTop w:val="0"/>
      <w:marBottom w:val="0"/>
      <w:divBdr>
        <w:top w:val="none" w:sz="0" w:space="0" w:color="auto"/>
        <w:left w:val="none" w:sz="0" w:space="0" w:color="auto"/>
        <w:bottom w:val="none" w:sz="0" w:space="0" w:color="auto"/>
        <w:right w:val="none" w:sz="0" w:space="0" w:color="auto"/>
      </w:divBdr>
    </w:div>
    <w:div w:id="821700759">
      <w:bodyDiv w:val="1"/>
      <w:marLeft w:val="0"/>
      <w:marRight w:val="0"/>
      <w:marTop w:val="0"/>
      <w:marBottom w:val="0"/>
      <w:divBdr>
        <w:top w:val="none" w:sz="0" w:space="0" w:color="auto"/>
        <w:left w:val="none" w:sz="0" w:space="0" w:color="auto"/>
        <w:bottom w:val="none" w:sz="0" w:space="0" w:color="auto"/>
        <w:right w:val="none" w:sz="0" w:space="0" w:color="auto"/>
      </w:divBdr>
    </w:div>
    <w:div w:id="866329197">
      <w:bodyDiv w:val="1"/>
      <w:marLeft w:val="0"/>
      <w:marRight w:val="0"/>
      <w:marTop w:val="0"/>
      <w:marBottom w:val="0"/>
      <w:divBdr>
        <w:top w:val="none" w:sz="0" w:space="0" w:color="auto"/>
        <w:left w:val="none" w:sz="0" w:space="0" w:color="auto"/>
        <w:bottom w:val="none" w:sz="0" w:space="0" w:color="auto"/>
        <w:right w:val="none" w:sz="0" w:space="0" w:color="auto"/>
      </w:divBdr>
    </w:div>
    <w:div w:id="960650064">
      <w:bodyDiv w:val="1"/>
      <w:marLeft w:val="0"/>
      <w:marRight w:val="0"/>
      <w:marTop w:val="0"/>
      <w:marBottom w:val="0"/>
      <w:divBdr>
        <w:top w:val="none" w:sz="0" w:space="0" w:color="auto"/>
        <w:left w:val="none" w:sz="0" w:space="0" w:color="auto"/>
        <w:bottom w:val="none" w:sz="0" w:space="0" w:color="auto"/>
        <w:right w:val="none" w:sz="0" w:space="0" w:color="auto"/>
      </w:divBdr>
    </w:div>
    <w:div w:id="988561337">
      <w:bodyDiv w:val="1"/>
      <w:marLeft w:val="0"/>
      <w:marRight w:val="0"/>
      <w:marTop w:val="0"/>
      <w:marBottom w:val="0"/>
      <w:divBdr>
        <w:top w:val="none" w:sz="0" w:space="0" w:color="auto"/>
        <w:left w:val="none" w:sz="0" w:space="0" w:color="auto"/>
        <w:bottom w:val="none" w:sz="0" w:space="0" w:color="auto"/>
        <w:right w:val="none" w:sz="0" w:space="0" w:color="auto"/>
      </w:divBdr>
    </w:div>
    <w:div w:id="1022050013">
      <w:bodyDiv w:val="1"/>
      <w:marLeft w:val="0"/>
      <w:marRight w:val="0"/>
      <w:marTop w:val="0"/>
      <w:marBottom w:val="0"/>
      <w:divBdr>
        <w:top w:val="none" w:sz="0" w:space="0" w:color="auto"/>
        <w:left w:val="none" w:sz="0" w:space="0" w:color="auto"/>
        <w:bottom w:val="none" w:sz="0" w:space="0" w:color="auto"/>
        <w:right w:val="none" w:sz="0" w:space="0" w:color="auto"/>
      </w:divBdr>
    </w:div>
    <w:div w:id="1069763157">
      <w:bodyDiv w:val="1"/>
      <w:marLeft w:val="0"/>
      <w:marRight w:val="0"/>
      <w:marTop w:val="0"/>
      <w:marBottom w:val="0"/>
      <w:divBdr>
        <w:top w:val="none" w:sz="0" w:space="0" w:color="auto"/>
        <w:left w:val="none" w:sz="0" w:space="0" w:color="auto"/>
        <w:bottom w:val="none" w:sz="0" w:space="0" w:color="auto"/>
        <w:right w:val="none" w:sz="0" w:space="0" w:color="auto"/>
      </w:divBdr>
    </w:div>
    <w:div w:id="1114708165">
      <w:bodyDiv w:val="1"/>
      <w:marLeft w:val="0"/>
      <w:marRight w:val="0"/>
      <w:marTop w:val="0"/>
      <w:marBottom w:val="0"/>
      <w:divBdr>
        <w:top w:val="none" w:sz="0" w:space="0" w:color="auto"/>
        <w:left w:val="none" w:sz="0" w:space="0" w:color="auto"/>
        <w:bottom w:val="none" w:sz="0" w:space="0" w:color="auto"/>
        <w:right w:val="none" w:sz="0" w:space="0" w:color="auto"/>
      </w:divBdr>
    </w:div>
    <w:div w:id="1135099875">
      <w:bodyDiv w:val="1"/>
      <w:marLeft w:val="0"/>
      <w:marRight w:val="0"/>
      <w:marTop w:val="0"/>
      <w:marBottom w:val="0"/>
      <w:divBdr>
        <w:top w:val="none" w:sz="0" w:space="0" w:color="auto"/>
        <w:left w:val="none" w:sz="0" w:space="0" w:color="auto"/>
        <w:bottom w:val="none" w:sz="0" w:space="0" w:color="auto"/>
        <w:right w:val="none" w:sz="0" w:space="0" w:color="auto"/>
      </w:divBdr>
    </w:div>
    <w:div w:id="1137842082">
      <w:bodyDiv w:val="1"/>
      <w:marLeft w:val="0"/>
      <w:marRight w:val="0"/>
      <w:marTop w:val="0"/>
      <w:marBottom w:val="0"/>
      <w:divBdr>
        <w:top w:val="none" w:sz="0" w:space="0" w:color="auto"/>
        <w:left w:val="none" w:sz="0" w:space="0" w:color="auto"/>
        <w:bottom w:val="none" w:sz="0" w:space="0" w:color="auto"/>
        <w:right w:val="none" w:sz="0" w:space="0" w:color="auto"/>
      </w:divBdr>
    </w:div>
    <w:div w:id="1302812629">
      <w:bodyDiv w:val="1"/>
      <w:marLeft w:val="0"/>
      <w:marRight w:val="0"/>
      <w:marTop w:val="0"/>
      <w:marBottom w:val="0"/>
      <w:divBdr>
        <w:top w:val="none" w:sz="0" w:space="0" w:color="auto"/>
        <w:left w:val="none" w:sz="0" w:space="0" w:color="auto"/>
        <w:bottom w:val="none" w:sz="0" w:space="0" w:color="auto"/>
        <w:right w:val="none" w:sz="0" w:space="0" w:color="auto"/>
      </w:divBdr>
    </w:div>
    <w:div w:id="1319766372">
      <w:bodyDiv w:val="1"/>
      <w:marLeft w:val="0"/>
      <w:marRight w:val="0"/>
      <w:marTop w:val="0"/>
      <w:marBottom w:val="0"/>
      <w:divBdr>
        <w:top w:val="none" w:sz="0" w:space="0" w:color="auto"/>
        <w:left w:val="none" w:sz="0" w:space="0" w:color="auto"/>
        <w:bottom w:val="none" w:sz="0" w:space="0" w:color="auto"/>
        <w:right w:val="none" w:sz="0" w:space="0" w:color="auto"/>
      </w:divBdr>
    </w:div>
    <w:div w:id="1327518847">
      <w:bodyDiv w:val="1"/>
      <w:marLeft w:val="0"/>
      <w:marRight w:val="0"/>
      <w:marTop w:val="0"/>
      <w:marBottom w:val="0"/>
      <w:divBdr>
        <w:top w:val="none" w:sz="0" w:space="0" w:color="auto"/>
        <w:left w:val="none" w:sz="0" w:space="0" w:color="auto"/>
        <w:bottom w:val="none" w:sz="0" w:space="0" w:color="auto"/>
        <w:right w:val="none" w:sz="0" w:space="0" w:color="auto"/>
      </w:divBdr>
    </w:div>
    <w:div w:id="1411729981">
      <w:bodyDiv w:val="1"/>
      <w:marLeft w:val="0"/>
      <w:marRight w:val="0"/>
      <w:marTop w:val="0"/>
      <w:marBottom w:val="0"/>
      <w:divBdr>
        <w:top w:val="none" w:sz="0" w:space="0" w:color="auto"/>
        <w:left w:val="none" w:sz="0" w:space="0" w:color="auto"/>
        <w:bottom w:val="none" w:sz="0" w:space="0" w:color="auto"/>
        <w:right w:val="none" w:sz="0" w:space="0" w:color="auto"/>
      </w:divBdr>
    </w:div>
    <w:div w:id="1413354410">
      <w:bodyDiv w:val="1"/>
      <w:marLeft w:val="0"/>
      <w:marRight w:val="0"/>
      <w:marTop w:val="0"/>
      <w:marBottom w:val="0"/>
      <w:divBdr>
        <w:top w:val="none" w:sz="0" w:space="0" w:color="auto"/>
        <w:left w:val="none" w:sz="0" w:space="0" w:color="auto"/>
        <w:bottom w:val="none" w:sz="0" w:space="0" w:color="auto"/>
        <w:right w:val="none" w:sz="0" w:space="0" w:color="auto"/>
      </w:divBdr>
    </w:div>
    <w:div w:id="1468082634">
      <w:bodyDiv w:val="1"/>
      <w:marLeft w:val="0"/>
      <w:marRight w:val="0"/>
      <w:marTop w:val="0"/>
      <w:marBottom w:val="0"/>
      <w:divBdr>
        <w:top w:val="none" w:sz="0" w:space="0" w:color="auto"/>
        <w:left w:val="none" w:sz="0" w:space="0" w:color="auto"/>
        <w:bottom w:val="none" w:sz="0" w:space="0" w:color="auto"/>
        <w:right w:val="none" w:sz="0" w:space="0" w:color="auto"/>
      </w:divBdr>
    </w:div>
    <w:div w:id="1470589820">
      <w:bodyDiv w:val="1"/>
      <w:marLeft w:val="0"/>
      <w:marRight w:val="0"/>
      <w:marTop w:val="0"/>
      <w:marBottom w:val="0"/>
      <w:divBdr>
        <w:top w:val="none" w:sz="0" w:space="0" w:color="auto"/>
        <w:left w:val="none" w:sz="0" w:space="0" w:color="auto"/>
        <w:bottom w:val="none" w:sz="0" w:space="0" w:color="auto"/>
        <w:right w:val="none" w:sz="0" w:space="0" w:color="auto"/>
      </w:divBdr>
    </w:div>
    <w:div w:id="1484353612">
      <w:bodyDiv w:val="1"/>
      <w:marLeft w:val="0"/>
      <w:marRight w:val="0"/>
      <w:marTop w:val="0"/>
      <w:marBottom w:val="0"/>
      <w:divBdr>
        <w:top w:val="none" w:sz="0" w:space="0" w:color="auto"/>
        <w:left w:val="none" w:sz="0" w:space="0" w:color="auto"/>
        <w:bottom w:val="none" w:sz="0" w:space="0" w:color="auto"/>
        <w:right w:val="none" w:sz="0" w:space="0" w:color="auto"/>
      </w:divBdr>
    </w:div>
    <w:div w:id="1487282297">
      <w:bodyDiv w:val="1"/>
      <w:marLeft w:val="0"/>
      <w:marRight w:val="0"/>
      <w:marTop w:val="0"/>
      <w:marBottom w:val="0"/>
      <w:divBdr>
        <w:top w:val="none" w:sz="0" w:space="0" w:color="auto"/>
        <w:left w:val="none" w:sz="0" w:space="0" w:color="auto"/>
        <w:bottom w:val="none" w:sz="0" w:space="0" w:color="auto"/>
        <w:right w:val="none" w:sz="0" w:space="0" w:color="auto"/>
      </w:divBdr>
    </w:div>
    <w:div w:id="1576210594">
      <w:bodyDiv w:val="1"/>
      <w:marLeft w:val="0"/>
      <w:marRight w:val="0"/>
      <w:marTop w:val="0"/>
      <w:marBottom w:val="0"/>
      <w:divBdr>
        <w:top w:val="none" w:sz="0" w:space="0" w:color="auto"/>
        <w:left w:val="none" w:sz="0" w:space="0" w:color="auto"/>
        <w:bottom w:val="none" w:sz="0" w:space="0" w:color="auto"/>
        <w:right w:val="none" w:sz="0" w:space="0" w:color="auto"/>
      </w:divBdr>
    </w:div>
    <w:div w:id="1585608643">
      <w:bodyDiv w:val="1"/>
      <w:marLeft w:val="0"/>
      <w:marRight w:val="0"/>
      <w:marTop w:val="0"/>
      <w:marBottom w:val="0"/>
      <w:divBdr>
        <w:top w:val="none" w:sz="0" w:space="0" w:color="auto"/>
        <w:left w:val="none" w:sz="0" w:space="0" w:color="auto"/>
        <w:bottom w:val="none" w:sz="0" w:space="0" w:color="auto"/>
        <w:right w:val="none" w:sz="0" w:space="0" w:color="auto"/>
      </w:divBdr>
    </w:div>
    <w:div w:id="1594513743">
      <w:bodyDiv w:val="1"/>
      <w:marLeft w:val="0"/>
      <w:marRight w:val="0"/>
      <w:marTop w:val="0"/>
      <w:marBottom w:val="0"/>
      <w:divBdr>
        <w:top w:val="none" w:sz="0" w:space="0" w:color="auto"/>
        <w:left w:val="none" w:sz="0" w:space="0" w:color="auto"/>
        <w:bottom w:val="none" w:sz="0" w:space="0" w:color="auto"/>
        <w:right w:val="none" w:sz="0" w:space="0" w:color="auto"/>
      </w:divBdr>
    </w:div>
    <w:div w:id="1603996462">
      <w:bodyDiv w:val="1"/>
      <w:marLeft w:val="0"/>
      <w:marRight w:val="0"/>
      <w:marTop w:val="0"/>
      <w:marBottom w:val="0"/>
      <w:divBdr>
        <w:top w:val="none" w:sz="0" w:space="0" w:color="auto"/>
        <w:left w:val="none" w:sz="0" w:space="0" w:color="auto"/>
        <w:bottom w:val="none" w:sz="0" w:space="0" w:color="auto"/>
        <w:right w:val="none" w:sz="0" w:space="0" w:color="auto"/>
      </w:divBdr>
    </w:div>
    <w:div w:id="1616867985">
      <w:bodyDiv w:val="1"/>
      <w:marLeft w:val="0"/>
      <w:marRight w:val="0"/>
      <w:marTop w:val="0"/>
      <w:marBottom w:val="0"/>
      <w:divBdr>
        <w:top w:val="none" w:sz="0" w:space="0" w:color="auto"/>
        <w:left w:val="none" w:sz="0" w:space="0" w:color="auto"/>
        <w:bottom w:val="none" w:sz="0" w:space="0" w:color="auto"/>
        <w:right w:val="none" w:sz="0" w:space="0" w:color="auto"/>
      </w:divBdr>
    </w:div>
    <w:div w:id="1617062119">
      <w:bodyDiv w:val="1"/>
      <w:marLeft w:val="0"/>
      <w:marRight w:val="0"/>
      <w:marTop w:val="0"/>
      <w:marBottom w:val="0"/>
      <w:divBdr>
        <w:top w:val="none" w:sz="0" w:space="0" w:color="auto"/>
        <w:left w:val="none" w:sz="0" w:space="0" w:color="auto"/>
        <w:bottom w:val="none" w:sz="0" w:space="0" w:color="auto"/>
        <w:right w:val="none" w:sz="0" w:space="0" w:color="auto"/>
      </w:divBdr>
    </w:div>
    <w:div w:id="1623031635">
      <w:bodyDiv w:val="1"/>
      <w:marLeft w:val="0"/>
      <w:marRight w:val="0"/>
      <w:marTop w:val="0"/>
      <w:marBottom w:val="0"/>
      <w:divBdr>
        <w:top w:val="none" w:sz="0" w:space="0" w:color="auto"/>
        <w:left w:val="none" w:sz="0" w:space="0" w:color="auto"/>
        <w:bottom w:val="none" w:sz="0" w:space="0" w:color="auto"/>
        <w:right w:val="none" w:sz="0" w:space="0" w:color="auto"/>
      </w:divBdr>
    </w:div>
    <w:div w:id="1659847536">
      <w:bodyDiv w:val="1"/>
      <w:marLeft w:val="0"/>
      <w:marRight w:val="0"/>
      <w:marTop w:val="0"/>
      <w:marBottom w:val="0"/>
      <w:divBdr>
        <w:top w:val="none" w:sz="0" w:space="0" w:color="auto"/>
        <w:left w:val="none" w:sz="0" w:space="0" w:color="auto"/>
        <w:bottom w:val="none" w:sz="0" w:space="0" w:color="auto"/>
        <w:right w:val="none" w:sz="0" w:space="0" w:color="auto"/>
      </w:divBdr>
    </w:div>
    <w:div w:id="1678727019">
      <w:bodyDiv w:val="1"/>
      <w:marLeft w:val="0"/>
      <w:marRight w:val="0"/>
      <w:marTop w:val="0"/>
      <w:marBottom w:val="0"/>
      <w:divBdr>
        <w:top w:val="none" w:sz="0" w:space="0" w:color="auto"/>
        <w:left w:val="none" w:sz="0" w:space="0" w:color="auto"/>
        <w:bottom w:val="none" w:sz="0" w:space="0" w:color="auto"/>
        <w:right w:val="none" w:sz="0" w:space="0" w:color="auto"/>
      </w:divBdr>
    </w:div>
    <w:div w:id="1678927333">
      <w:bodyDiv w:val="1"/>
      <w:marLeft w:val="0"/>
      <w:marRight w:val="0"/>
      <w:marTop w:val="0"/>
      <w:marBottom w:val="0"/>
      <w:divBdr>
        <w:top w:val="none" w:sz="0" w:space="0" w:color="auto"/>
        <w:left w:val="none" w:sz="0" w:space="0" w:color="auto"/>
        <w:bottom w:val="none" w:sz="0" w:space="0" w:color="auto"/>
        <w:right w:val="none" w:sz="0" w:space="0" w:color="auto"/>
      </w:divBdr>
    </w:div>
    <w:div w:id="1681928792">
      <w:bodyDiv w:val="1"/>
      <w:marLeft w:val="0"/>
      <w:marRight w:val="0"/>
      <w:marTop w:val="0"/>
      <w:marBottom w:val="0"/>
      <w:divBdr>
        <w:top w:val="none" w:sz="0" w:space="0" w:color="auto"/>
        <w:left w:val="none" w:sz="0" w:space="0" w:color="auto"/>
        <w:bottom w:val="none" w:sz="0" w:space="0" w:color="auto"/>
        <w:right w:val="none" w:sz="0" w:space="0" w:color="auto"/>
      </w:divBdr>
    </w:div>
    <w:div w:id="1700545194">
      <w:bodyDiv w:val="1"/>
      <w:marLeft w:val="0"/>
      <w:marRight w:val="0"/>
      <w:marTop w:val="0"/>
      <w:marBottom w:val="0"/>
      <w:divBdr>
        <w:top w:val="none" w:sz="0" w:space="0" w:color="auto"/>
        <w:left w:val="none" w:sz="0" w:space="0" w:color="auto"/>
        <w:bottom w:val="none" w:sz="0" w:space="0" w:color="auto"/>
        <w:right w:val="none" w:sz="0" w:space="0" w:color="auto"/>
      </w:divBdr>
    </w:div>
    <w:div w:id="1772241865">
      <w:bodyDiv w:val="1"/>
      <w:marLeft w:val="0"/>
      <w:marRight w:val="0"/>
      <w:marTop w:val="0"/>
      <w:marBottom w:val="0"/>
      <w:divBdr>
        <w:top w:val="none" w:sz="0" w:space="0" w:color="auto"/>
        <w:left w:val="none" w:sz="0" w:space="0" w:color="auto"/>
        <w:bottom w:val="none" w:sz="0" w:space="0" w:color="auto"/>
        <w:right w:val="none" w:sz="0" w:space="0" w:color="auto"/>
      </w:divBdr>
    </w:div>
    <w:div w:id="1821916945">
      <w:bodyDiv w:val="1"/>
      <w:marLeft w:val="0"/>
      <w:marRight w:val="0"/>
      <w:marTop w:val="0"/>
      <w:marBottom w:val="0"/>
      <w:divBdr>
        <w:top w:val="none" w:sz="0" w:space="0" w:color="auto"/>
        <w:left w:val="none" w:sz="0" w:space="0" w:color="auto"/>
        <w:bottom w:val="none" w:sz="0" w:space="0" w:color="auto"/>
        <w:right w:val="none" w:sz="0" w:space="0" w:color="auto"/>
      </w:divBdr>
    </w:div>
    <w:div w:id="1845515503">
      <w:bodyDiv w:val="1"/>
      <w:marLeft w:val="0"/>
      <w:marRight w:val="0"/>
      <w:marTop w:val="0"/>
      <w:marBottom w:val="0"/>
      <w:divBdr>
        <w:top w:val="none" w:sz="0" w:space="0" w:color="auto"/>
        <w:left w:val="none" w:sz="0" w:space="0" w:color="auto"/>
        <w:bottom w:val="none" w:sz="0" w:space="0" w:color="auto"/>
        <w:right w:val="none" w:sz="0" w:space="0" w:color="auto"/>
      </w:divBdr>
    </w:div>
    <w:div w:id="1915048623">
      <w:bodyDiv w:val="1"/>
      <w:marLeft w:val="0"/>
      <w:marRight w:val="0"/>
      <w:marTop w:val="0"/>
      <w:marBottom w:val="0"/>
      <w:divBdr>
        <w:top w:val="none" w:sz="0" w:space="0" w:color="auto"/>
        <w:left w:val="none" w:sz="0" w:space="0" w:color="auto"/>
        <w:bottom w:val="none" w:sz="0" w:space="0" w:color="auto"/>
        <w:right w:val="none" w:sz="0" w:space="0" w:color="auto"/>
      </w:divBdr>
    </w:div>
    <w:div w:id="1957373274">
      <w:bodyDiv w:val="1"/>
      <w:marLeft w:val="0"/>
      <w:marRight w:val="0"/>
      <w:marTop w:val="0"/>
      <w:marBottom w:val="0"/>
      <w:divBdr>
        <w:top w:val="none" w:sz="0" w:space="0" w:color="auto"/>
        <w:left w:val="none" w:sz="0" w:space="0" w:color="auto"/>
        <w:bottom w:val="none" w:sz="0" w:space="0" w:color="auto"/>
        <w:right w:val="none" w:sz="0" w:space="0" w:color="auto"/>
      </w:divBdr>
    </w:div>
    <w:div w:id="2031175174">
      <w:bodyDiv w:val="1"/>
      <w:marLeft w:val="0"/>
      <w:marRight w:val="0"/>
      <w:marTop w:val="0"/>
      <w:marBottom w:val="0"/>
      <w:divBdr>
        <w:top w:val="none" w:sz="0" w:space="0" w:color="auto"/>
        <w:left w:val="none" w:sz="0" w:space="0" w:color="auto"/>
        <w:bottom w:val="none" w:sz="0" w:space="0" w:color="auto"/>
        <w:right w:val="none" w:sz="0" w:space="0" w:color="auto"/>
      </w:divBdr>
    </w:div>
    <w:div w:id="2050452889">
      <w:bodyDiv w:val="1"/>
      <w:marLeft w:val="0"/>
      <w:marRight w:val="0"/>
      <w:marTop w:val="0"/>
      <w:marBottom w:val="0"/>
      <w:divBdr>
        <w:top w:val="none" w:sz="0" w:space="0" w:color="auto"/>
        <w:left w:val="none" w:sz="0" w:space="0" w:color="auto"/>
        <w:bottom w:val="none" w:sz="0" w:space="0" w:color="auto"/>
        <w:right w:val="none" w:sz="0" w:space="0" w:color="auto"/>
      </w:divBdr>
    </w:div>
    <w:div w:id="2073431588">
      <w:bodyDiv w:val="1"/>
      <w:marLeft w:val="0"/>
      <w:marRight w:val="0"/>
      <w:marTop w:val="0"/>
      <w:marBottom w:val="0"/>
      <w:divBdr>
        <w:top w:val="none" w:sz="0" w:space="0" w:color="auto"/>
        <w:left w:val="none" w:sz="0" w:space="0" w:color="auto"/>
        <w:bottom w:val="none" w:sz="0" w:space="0" w:color="auto"/>
        <w:right w:val="none" w:sz="0" w:space="0" w:color="auto"/>
      </w:divBdr>
    </w:div>
    <w:div w:id="20874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Administra%C8%9Bie_public%C4%8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v.ro/ro/guvernul/cabinetul-de-ministri/viceprim-ministru-ministrul-afacerilor-interne-ministru-interimar-al-justitie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ro/ro/guvernul/cabinetul-de-ministri/viceprim-ministru176225488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o.wikipedia.org/wiki/Uniunea_European%C4%83" TargetMode="External"/><Relationship Id="rId4" Type="http://schemas.openxmlformats.org/officeDocument/2006/relationships/settings" Target="settings.xml"/><Relationship Id="rId9" Type="http://schemas.openxmlformats.org/officeDocument/2006/relationships/hyperlink" Target="https://ro.wikipedia.org/wiki/Guvernul_Rom%C3%A2nie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2B23C86-6388-4BE2-8DC9-4EE92B2CA71D}">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3F6EA-0E60-41AD-97D2-2E8C61E63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8</Pages>
  <Words>3036</Words>
  <Characters>17307</Characters>
  <Application>Microsoft Office Word</Application>
  <DocSecurity>0</DocSecurity>
  <Lines>144</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2026-03-18T10:28:00Z</cp:lastPrinted>
  <dcterms:created xsi:type="dcterms:W3CDTF">2026-06-12T05:38:00Z</dcterms:created>
  <dcterms:modified xsi:type="dcterms:W3CDTF">2026-06-18T12:56:00Z</dcterms:modified>
</cp:coreProperties>
</file>