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ADA4" w14:textId="77777777" w:rsidR="001356F6" w:rsidRPr="00E9358F" w:rsidRDefault="001356F6" w:rsidP="009237C1">
      <w:pPr>
        <w:spacing w:after="0" w:line="240" w:lineRule="auto"/>
        <w:jc w:val="center"/>
        <w:rPr>
          <w:rFonts w:ascii="Times New Roman" w:eastAsiaTheme="majorEastAsia" w:hAnsi="Times New Roman" w:cs="Times New Roman"/>
          <w:b/>
          <w:lang w:val="ro-RO" w:eastAsia="en-US"/>
        </w:rPr>
      </w:pPr>
    </w:p>
    <w:p w14:paraId="01CA50E9" w14:textId="77777777" w:rsidR="001356F6" w:rsidRPr="00E9358F" w:rsidRDefault="001356F6" w:rsidP="009237C1">
      <w:pPr>
        <w:spacing w:after="0" w:line="240" w:lineRule="auto"/>
        <w:jc w:val="center"/>
        <w:rPr>
          <w:rFonts w:ascii="Times New Roman" w:eastAsiaTheme="majorEastAsia" w:hAnsi="Times New Roman" w:cs="Times New Roman"/>
          <w:b/>
          <w:lang w:val="ro-RO" w:eastAsia="en-US"/>
        </w:rPr>
      </w:pPr>
    </w:p>
    <w:p w14:paraId="498EB670" w14:textId="77777777" w:rsidR="001356F6" w:rsidRPr="00E9358F" w:rsidRDefault="001356F6" w:rsidP="009237C1">
      <w:pPr>
        <w:spacing w:after="0" w:line="240" w:lineRule="auto"/>
        <w:jc w:val="center"/>
        <w:rPr>
          <w:rFonts w:ascii="Times New Roman" w:eastAsiaTheme="majorEastAsia" w:hAnsi="Times New Roman" w:cs="Times New Roman"/>
          <w:b/>
          <w:lang w:val="ro-RO" w:eastAsia="en-US"/>
        </w:rPr>
      </w:pPr>
    </w:p>
    <w:p w14:paraId="02F9BE96" w14:textId="77777777" w:rsidR="009237C1" w:rsidRPr="00E9358F" w:rsidRDefault="009237C1" w:rsidP="009237C1">
      <w:pPr>
        <w:spacing w:after="0" w:line="240" w:lineRule="auto"/>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 xml:space="preserve">NOTĂ DE FUNDAMENTARE </w:t>
      </w:r>
    </w:p>
    <w:p w14:paraId="42112715" w14:textId="77777777" w:rsidR="00F438CD" w:rsidRPr="00E9358F" w:rsidRDefault="00F105DE" w:rsidP="00F105DE">
      <w:pPr>
        <w:spacing w:after="0" w:line="240" w:lineRule="auto"/>
        <w:rPr>
          <w:rFonts w:ascii="Times New Roman" w:eastAsiaTheme="majorEastAsia" w:hAnsi="Times New Roman" w:cs="Times New Roman"/>
          <w:bCs/>
          <w:lang w:val="ro-RO" w:eastAsia="en-US"/>
        </w:rPr>
      </w:pPr>
      <w:r w:rsidRPr="00E9358F">
        <w:rPr>
          <w:rFonts w:ascii="Times New Roman" w:eastAsiaTheme="majorEastAsia" w:hAnsi="Times New Roman" w:cs="Times New Roman"/>
          <w:bCs/>
          <w:lang w:val="ro-RO" w:eastAsia="en-US"/>
        </w:rPr>
        <w:t xml:space="preserve"> </w:t>
      </w:r>
    </w:p>
    <w:p w14:paraId="27151904" w14:textId="77777777" w:rsidR="00113FD6" w:rsidRPr="00E9358F" w:rsidRDefault="00113FD6" w:rsidP="00113FD6">
      <w:pPr>
        <w:spacing w:after="120"/>
        <w:jc w:val="center"/>
        <w:rPr>
          <w:rFonts w:ascii="Times New Roman" w:eastAsiaTheme="majorEastAsia" w:hAnsi="Times New Roman" w:cs="Times New Roman"/>
          <w:b/>
          <w:bCs/>
          <w:lang w:val="ro-RO" w:eastAsia="en-US"/>
        </w:rPr>
      </w:pPr>
    </w:p>
    <w:tbl>
      <w:tblPr>
        <w:tblStyle w:val="TableGrid"/>
        <w:tblW w:w="9493" w:type="dxa"/>
        <w:jc w:val="center"/>
        <w:tblLook w:val="04A0" w:firstRow="1" w:lastRow="0" w:firstColumn="1" w:lastColumn="0" w:noHBand="0" w:noVBand="1"/>
      </w:tblPr>
      <w:tblGrid>
        <w:gridCol w:w="3256"/>
        <w:gridCol w:w="1419"/>
        <w:gridCol w:w="584"/>
        <w:gridCol w:w="585"/>
        <w:gridCol w:w="584"/>
        <w:gridCol w:w="585"/>
        <w:gridCol w:w="2480"/>
      </w:tblGrid>
      <w:tr w:rsidR="00714DDA" w:rsidRPr="00CB7B6C" w14:paraId="68CA3112" w14:textId="77777777" w:rsidTr="00605DDE">
        <w:trPr>
          <w:jc w:val="center"/>
        </w:trPr>
        <w:tc>
          <w:tcPr>
            <w:tcW w:w="9493" w:type="dxa"/>
            <w:gridSpan w:val="7"/>
            <w:tcBorders>
              <w:bottom w:val="single" w:sz="4" w:space="0" w:color="auto"/>
            </w:tcBorders>
          </w:tcPr>
          <w:p w14:paraId="6F6D6466" w14:textId="77777777" w:rsidR="00714DDA" w:rsidRPr="00E9358F" w:rsidRDefault="00714DDA" w:rsidP="00714DDA">
            <w:pPr>
              <w:spacing w:after="120"/>
              <w:jc w:val="center"/>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b/>
                <w:bCs/>
                <w:sz w:val="24"/>
                <w:szCs w:val="24"/>
                <w:lang w:val="ro-RO" w:eastAsia="en-US"/>
              </w:rPr>
              <w:t>Secțiunea 1:</w:t>
            </w:r>
          </w:p>
          <w:p w14:paraId="52B194DD" w14:textId="77777777" w:rsidR="00714DDA" w:rsidRPr="00E9358F" w:rsidRDefault="00714DDA" w:rsidP="00714DDA">
            <w:pPr>
              <w:spacing w:after="120"/>
              <w:jc w:val="center"/>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b/>
                <w:bCs/>
                <w:sz w:val="24"/>
                <w:szCs w:val="24"/>
                <w:lang w:val="ro-RO" w:eastAsia="en-US"/>
              </w:rPr>
              <w:t>Titlul proiectului de act normativ</w:t>
            </w:r>
          </w:p>
          <w:p w14:paraId="01A8CD36" w14:textId="21D7B0B4" w:rsidR="00AE6F33" w:rsidRDefault="002E5A8C" w:rsidP="002E5A8C">
            <w:pPr>
              <w:jc w:val="center"/>
              <w:rPr>
                <w:rFonts w:ascii="Times New Roman" w:hAnsi="Times New Roman" w:cs="Times New Roman"/>
                <w:color w:val="FF0000"/>
                <w:sz w:val="24"/>
                <w:szCs w:val="24"/>
                <w:lang w:val="it-IT"/>
              </w:rPr>
            </w:pPr>
            <w:r w:rsidRPr="002E5A8C">
              <w:rPr>
                <w:rFonts w:ascii="Times New Roman" w:hAnsi="Times New Roman" w:cs="Times New Roman"/>
                <w:b/>
                <w:color w:val="000000"/>
                <w:sz w:val="24"/>
                <w:szCs w:val="24"/>
                <w:lang w:val="ro-RO"/>
              </w:rPr>
              <w:t>Hotărâre a Guvernului privind aprobarea numărului mediu maxim de personal pe anul 202</w:t>
            </w:r>
            <w:r w:rsidR="00CB7B6C">
              <w:rPr>
                <w:rFonts w:ascii="Times New Roman" w:hAnsi="Times New Roman" w:cs="Times New Roman"/>
                <w:b/>
                <w:color w:val="000000"/>
                <w:sz w:val="24"/>
                <w:szCs w:val="24"/>
                <w:lang w:val="ro-RO"/>
              </w:rPr>
              <w:t>6</w:t>
            </w:r>
            <w:r w:rsidRPr="002E5A8C">
              <w:rPr>
                <w:rFonts w:ascii="Times New Roman" w:hAnsi="Times New Roman" w:cs="Times New Roman"/>
                <w:b/>
                <w:color w:val="000000"/>
                <w:sz w:val="24"/>
                <w:szCs w:val="24"/>
                <w:lang w:val="ro-RO"/>
              </w:rPr>
              <w:t xml:space="preserve"> pentru operatorii economici din industria naţională de apărare, care desfășoară activități conform prevederilor art. 24 din Legea nr. 232/2016 privind industria națională de apărare, precum şi pentru modificarea şi completarea unor acte normative</w:t>
            </w:r>
            <w:r w:rsidRPr="002E5A8C">
              <w:rPr>
                <w:rFonts w:ascii="Times New Roman" w:hAnsi="Times New Roman" w:cs="Times New Roman"/>
                <w:color w:val="FF0000"/>
                <w:sz w:val="24"/>
                <w:szCs w:val="24"/>
                <w:lang w:val="it-IT"/>
              </w:rPr>
              <w:t xml:space="preserve"> </w:t>
            </w:r>
          </w:p>
          <w:p w14:paraId="43D54BD0" w14:textId="77777777" w:rsidR="000017F3" w:rsidRPr="00CB7B6C" w:rsidRDefault="000017F3" w:rsidP="002E5A8C">
            <w:pPr>
              <w:jc w:val="center"/>
              <w:rPr>
                <w:rFonts w:ascii="Times New Roman" w:hAnsi="Times New Roman" w:cs="Times New Roman"/>
                <w:b/>
                <w:sz w:val="24"/>
                <w:szCs w:val="24"/>
                <w:lang w:val="ro-RO"/>
              </w:rPr>
            </w:pPr>
          </w:p>
        </w:tc>
      </w:tr>
      <w:tr w:rsidR="00714DDA" w:rsidRPr="00CB7B6C" w14:paraId="41DE799C" w14:textId="77777777" w:rsidTr="00605DDE">
        <w:trPr>
          <w:jc w:val="center"/>
        </w:trPr>
        <w:tc>
          <w:tcPr>
            <w:tcW w:w="9493" w:type="dxa"/>
            <w:gridSpan w:val="7"/>
            <w:tcBorders>
              <w:bottom w:val="single" w:sz="4" w:space="0" w:color="auto"/>
            </w:tcBorders>
          </w:tcPr>
          <w:p w14:paraId="2FC961EC" w14:textId="77777777" w:rsidR="00714DDA" w:rsidRPr="00E9358F" w:rsidRDefault="00714DDA" w:rsidP="00714DDA">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Secțiunea a 2-a:</w:t>
            </w:r>
          </w:p>
          <w:p w14:paraId="5BBE612A" w14:textId="77777777" w:rsidR="00714DDA" w:rsidRDefault="00714DDA" w:rsidP="002A5B62">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Motivul emiterii actului normativ</w:t>
            </w:r>
          </w:p>
          <w:p w14:paraId="31A27E92" w14:textId="77777777" w:rsidR="000017F3" w:rsidRPr="002A5B62" w:rsidRDefault="000017F3" w:rsidP="002A5B62">
            <w:pPr>
              <w:jc w:val="center"/>
              <w:rPr>
                <w:rFonts w:ascii="Times New Roman" w:eastAsiaTheme="majorEastAsia" w:hAnsi="Times New Roman" w:cs="Times New Roman"/>
                <w:b/>
                <w:sz w:val="24"/>
                <w:szCs w:val="24"/>
                <w:lang w:val="ro-RO" w:eastAsia="en-US"/>
              </w:rPr>
            </w:pPr>
          </w:p>
        </w:tc>
      </w:tr>
      <w:tr w:rsidR="0008230D" w:rsidRPr="00CB7B6C" w14:paraId="0E84729A" w14:textId="77777777" w:rsidTr="00605DDE">
        <w:trPr>
          <w:jc w:val="center"/>
        </w:trPr>
        <w:tc>
          <w:tcPr>
            <w:tcW w:w="9493" w:type="dxa"/>
            <w:gridSpan w:val="7"/>
            <w:tcBorders>
              <w:top w:val="single" w:sz="4" w:space="0" w:color="auto"/>
            </w:tcBorders>
          </w:tcPr>
          <w:p w14:paraId="0EEC35F5" w14:textId="77777777" w:rsidR="00193B22" w:rsidRDefault="0008230D" w:rsidP="0008230D">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2.1 Sursa proiectului de act normativ </w:t>
            </w:r>
          </w:p>
          <w:p w14:paraId="79BE2453" w14:textId="00216F32" w:rsidR="00193B22" w:rsidRPr="004E541A" w:rsidRDefault="003E350F" w:rsidP="009F2BC7">
            <w:pPr>
              <w:spacing w:line="276" w:lineRule="auto"/>
              <w:ind w:right="57"/>
              <w:jc w:val="both"/>
              <w:rPr>
                <w:rFonts w:ascii="Times New Roman" w:hAnsi="Times New Roman" w:cs="Times New Roman"/>
                <w:sz w:val="24"/>
                <w:szCs w:val="24"/>
                <w:lang w:val="ro-RO"/>
              </w:rPr>
            </w:pPr>
            <w:r w:rsidRPr="00E9358F">
              <w:rPr>
                <w:rFonts w:ascii="Times New Roman" w:hAnsi="Times New Roman" w:cs="Times New Roman"/>
                <w:sz w:val="24"/>
                <w:szCs w:val="24"/>
                <w:lang w:val="ro-RO"/>
              </w:rPr>
              <w:t xml:space="preserve">Proiectul de act normativ este elaborat potrivit prevederilor art. 24 din </w:t>
            </w:r>
            <w:r w:rsidRPr="006C215D">
              <w:rPr>
                <w:rFonts w:ascii="Times New Roman" w:hAnsi="Times New Roman" w:cs="Times New Roman"/>
                <w:i/>
                <w:iCs/>
                <w:sz w:val="24"/>
                <w:szCs w:val="24"/>
                <w:lang w:val="ro-RO"/>
              </w:rPr>
              <w:t xml:space="preserve">Legea nr. </w:t>
            </w:r>
            <w:r w:rsidRPr="006C215D">
              <w:rPr>
                <w:rFonts w:ascii="Times New Roman" w:hAnsi="Times New Roman" w:cs="Times New Roman"/>
                <w:bCs/>
                <w:i/>
                <w:iCs/>
                <w:sz w:val="24"/>
                <w:szCs w:val="24"/>
                <w:lang w:val="it-IT"/>
              </w:rPr>
              <w:t>232/2016 privind industria naţională de apărare, precum şi pentru modificarea şi completarea unor acte normative</w:t>
            </w:r>
            <w:r w:rsidRPr="00E9358F">
              <w:rPr>
                <w:rFonts w:ascii="Times New Roman" w:hAnsi="Times New Roman" w:cs="Times New Roman"/>
                <w:sz w:val="24"/>
                <w:szCs w:val="24"/>
                <w:lang w:val="ro-RO"/>
              </w:rPr>
              <w:t>, cu modificările și completările ulterioare, la inițiativa Ministerului Economiei</w:t>
            </w:r>
            <w:r w:rsidR="00605DDE">
              <w:rPr>
                <w:rFonts w:ascii="Times New Roman" w:hAnsi="Times New Roman" w:cs="Times New Roman"/>
                <w:sz w:val="24"/>
                <w:szCs w:val="24"/>
                <w:lang w:val="ro-RO"/>
              </w:rPr>
              <w:t xml:space="preserve">, </w:t>
            </w:r>
            <w:r w:rsidR="00B6710E">
              <w:rPr>
                <w:rFonts w:ascii="Times New Roman" w:hAnsi="Times New Roman" w:cs="Times New Roman"/>
                <w:sz w:val="24"/>
                <w:szCs w:val="24"/>
                <w:lang w:val="ro-RO"/>
              </w:rPr>
              <w:t xml:space="preserve">Digitalizării, </w:t>
            </w:r>
            <w:r w:rsidR="00605DDE" w:rsidRPr="00605DDE">
              <w:rPr>
                <w:rFonts w:ascii="Times New Roman" w:hAnsi="Times New Roman" w:cs="Times New Roman"/>
                <w:color w:val="000000"/>
                <w:sz w:val="24"/>
                <w:szCs w:val="24"/>
                <w:lang w:val="ro-RO"/>
              </w:rPr>
              <w:t>Antreprenoriatului și Turismului</w:t>
            </w:r>
            <w:r w:rsidRPr="00E9358F">
              <w:rPr>
                <w:rFonts w:ascii="Times New Roman" w:hAnsi="Times New Roman" w:cs="Times New Roman"/>
                <w:sz w:val="24"/>
                <w:szCs w:val="24"/>
                <w:lang w:val="ro-RO"/>
              </w:rPr>
              <w:t xml:space="preserve">. </w:t>
            </w:r>
            <w:r w:rsidR="00184E75" w:rsidRPr="00E9358F">
              <w:rPr>
                <w:rFonts w:ascii="Times New Roman" w:hAnsi="Times New Roman" w:cs="Times New Roman"/>
                <w:sz w:val="24"/>
                <w:szCs w:val="24"/>
                <w:lang w:val="ro-RO"/>
              </w:rPr>
              <w:t>Sectorul industriei naționale de apărare reprezintă un domeniu economic strategic, menit să susțină efortul de apărare al țării prin furnizarea de produse şi servicii pentru Forţele Sistemului Naţional de Apărare (denumit</w:t>
            </w:r>
            <w:r w:rsidR="00EF09CC" w:rsidRPr="00E9358F">
              <w:rPr>
                <w:rFonts w:ascii="Times New Roman" w:hAnsi="Times New Roman" w:cs="Times New Roman"/>
                <w:sz w:val="24"/>
                <w:szCs w:val="24"/>
                <w:lang w:val="ro-RO"/>
              </w:rPr>
              <w:t>ă</w:t>
            </w:r>
            <w:r w:rsidR="00184E75" w:rsidRPr="00E9358F">
              <w:rPr>
                <w:rFonts w:ascii="Times New Roman" w:hAnsi="Times New Roman" w:cs="Times New Roman"/>
                <w:sz w:val="24"/>
                <w:szCs w:val="24"/>
                <w:lang w:val="ro-RO"/>
              </w:rPr>
              <w:t xml:space="preserve"> în continuare FSNA), astfel încât România să-şi onoreze obligaţiile asumate în calitate de stat membru NATO şi al UE.</w:t>
            </w:r>
          </w:p>
        </w:tc>
      </w:tr>
      <w:tr w:rsidR="00717027" w:rsidRPr="00CB7B6C" w14:paraId="542306F4" w14:textId="77777777" w:rsidTr="004E541A">
        <w:trPr>
          <w:trHeight w:val="5519"/>
          <w:jc w:val="center"/>
        </w:trPr>
        <w:tc>
          <w:tcPr>
            <w:tcW w:w="9493" w:type="dxa"/>
            <w:gridSpan w:val="7"/>
          </w:tcPr>
          <w:p w14:paraId="0A2D2789" w14:textId="77777777" w:rsidR="003E350F" w:rsidRPr="00E9358F" w:rsidRDefault="003E350F" w:rsidP="00717027">
            <w:pPr>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2.2 Descrierea situației actuale</w:t>
            </w:r>
          </w:p>
          <w:p w14:paraId="01525EFB" w14:textId="77777777" w:rsidR="00717027" w:rsidRPr="00E9358F" w:rsidRDefault="00717027" w:rsidP="00717027">
            <w:pPr>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Conform art. 24 din</w:t>
            </w:r>
            <w:r w:rsidRPr="00E9358F">
              <w:rPr>
                <w:rFonts w:ascii="Times New Roman" w:hAnsi="Times New Roman" w:cs="Times New Roman"/>
                <w:b/>
                <w:color w:val="000000"/>
                <w:sz w:val="24"/>
                <w:szCs w:val="24"/>
                <w:lang w:val="ro-RO"/>
              </w:rPr>
              <w:t xml:space="preserve"> </w:t>
            </w:r>
            <w:r w:rsidRPr="00E9358F">
              <w:rPr>
                <w:rFonts w:ascii="Times New Roman" w:hAnsi="Times New Roman" w:cs="Times New Roman"/>
                <w:color w:val="000000"/>
                <w:sz w:val="24"/>
                <w:szCs w:val="24"/>
                <w:lang w:val="ro-RO"/>
              </w:rPr>
              <w:t>Legea nr. 232/2016</w:t>
            </w:r>
            <w:r w:rsidR="006C215D">
              <w:rPr>
                <w:rFonts w:ascii="Times New Roman" w:hAnsi="Times New Roman" w:cs="Times New Roman"/>
                <w:color w:val="000000"/>
                <w:sz w:val="24"/>
                <w:szCs w:val="24"/>
                <w:lang w:val="ro-RO"/>
              </w:rPr>
              <w:t xml:space="preserve">, </w:t>
            </w:r>
            <w:r w:rsidRPr="00E9358F">
              <w:rPr>
                <w:rFonts w:ascii="Times New Roman" w:hAnsi="Times New Roman" w:cs="Times New Roman"/>
                <w:color w:val="000000"/>
                <w:sz w:val="24"/>
                <w:szCs w:val="24"/>
                <w:lang w:val="ro-RO"/>
              </w:rPr>
              <w:t>salariaţii încadraţi cu contract individual de muncă pe durată nedeterminată la operatorii economici</w:t>
            </w:r>
            <w:r w:rsidR="00AE6F33" w:rsidRPr="00E9358F">
              <w:rPr>
                <w:rFonts w:ascii="Times New Roman" w:hAnsi="Times New Roman" w:cs="Times New Roman"/>
                <w:color w:val="000000"/>
                <w:sz w:val="24"/>
                <w:szCs w:val="24"/>
                <w:lang w:val="ro-RO"/>
              </w:rPr>
              <w:t xml:space="preserve"> cu capital majoritar și/sau integral de stat</w:t>
            </w:r>
            <w:r w:rsidRPr="00E9358F">
              <w:rPr>
                <w:rFonts w:ascii="Times New Roman" w:hAnsi="Times New Roman" w:cs="Times New Roman"/>
                <w:color w:val="000000"/>
                <w:sz w:val="24"/>
                <w:szCs w:val="24"/>
                <w:lang w:val="ro-RO"/>
              </w:rPr>
              <w:t xml:space="preserve"> din industria naţională de apărare, </w:t>
            </w:r>
            <w:r w:rsidR="00AE6F33" w:rsidRPr="00E9358F">
              <w:rPr>
                <w:rFonts w:ascii="Times New Roman" w:hAnsi="Times New Roman" w:cs="Times New Roman"/>
                <w:color w:val="000000"/>
                <w:sz w:val="24"/>
                <w:szCs w:val="24"/>
                <w:lang w:val="ro-RO"/>
              </w:rPr>
              <w:t>în</w:t>
            </w:r>
            <w:r w:rsidRPr="00E9358F">
              <w:rPr>
                <w:rFonts w:ascii="Times New Roman" w:hAnsi="Times New Roman" w:cs="Times New Roman"/>
                <w:color w:val="000000"/>
                <w:sz w:val="24"/>
                <w:szCs w:val="24"/>
                <w:lang w:val="ro-RO"/>
              </w:rPr>
              <w:t xml:space="preserve"> perioada în care nu desfăşoară activit</w:t>
            </w:r>
            <w:r w:rsidR="00AE6F33" w:rsidRPr="00E9358F">
              <w:rPr>
                <w:rFonts w:ascii="Times New Roman" w:hAnsi="Times New Roman" w:cs="Times New Roman"/>
                <w:color w:val="000000"/>
                <w:sz w:val="24"/>
                <w:szCs w:val="24"/>
                <w:lang w:val="ro-RO"/>
              </w:rPr>
              <w:t>ăți</w:t>
            </w:r>
            <w:r w:rsidRPr="00E9358F">
              <w:rPr>
                <w:rFonts w:ascii="Times New Roman" w:hAnsi="Times New Roman" w:cs="Times New Roman"/>
                <w:color w:val="000000"/>
                <w:sz w:val="24"/>
                <w:szCs w:val="24"/>
                <w:lang w:val="ro-RO"/>
              </w:rPr>
              <w:t xml:space="preserve"> din lipsă de comenzi sau contracte,</w:t>
            </w:r>
            <w:r w:rsidR="00F211AE">
              <w:rPr>
                <w:rFonts w:ascii="Times New Roman" w:hAnsi="Times New Roman" w:cs="Times New Roman"/>
                <w:color w:val="000000"/>
                <w:sz w:val="24"/>
                <w:szCs w:val="24"/>
                <w:lang w:val="ro-RO"/>
              </w:rPr>
              <w:t xml:space="preserve"> </w:t>
            </w:r>
            <w:r w:rsidR="00AE6F33" w:rsidRPr="00E9358F">
              <w:rPr>
                <w:rFonts w:ascii="Times New Roman" w:hAnsi="Times New Roman" w:cs="Times New Roman"/>
                <w:color w:val="000000"/>
                <w:sz w:val="24"/>
                <w:szCs w:val="24"/>
                <w:lang w:val="ro-RO"/>
              </w:rPr>
              <w:t xml:space="preserve">aceștia </w:t>
            </w:r>
            <w:r w:rsidRPr="00E9358F">
              <w:rPr>
                <w:rFonts w:ascii="Times New Roman" w:hAnsi="Times New Roman" w:cs="Times New Roman"/>
                <w:color w:val="000000"/>
                <w:sz w:val="24"/>
                <w:szCs w:val="24"/>
                <w:lang w:val="ro-RO"/>
              </w:rPr>
              <w:t xml:space="preserve">efectuează activităţi </w:t>
            </w:r>
            <w:r w:rsidR="00AE6F33" w:rsidRPr="00E9358F">
              <w:rPr>
                <w:rFonts w:ascii="Times New Roman" w:hAnsi="Times New Roman" w:cs="Times New Roman"/>
                <w:color w:val="000000"/>
                <w:sz w:val="24"/>
                <w:szCs w:val="24"/>
                <w:lang w:val="ro-RO"/>
              </w:rPr>
              <w:t>de întreținere</w:t>
            </w:r>
            <w:r w:rsidRPr="00E9358F">
              <w:rPr>
                <w:rFonts w:ascii="Times New Roman" w:hAnsi="Times New Roman" w:cs="Times New Roman"/>
                <w:color w:val="000000"/>
                <w:sz w:val="24"/>
                <w:szCs w:val="24"/>
                <w:lang w:val="ro-RO"/>
              </w:rPr>
              <w:t>,</w:t>
            </w:r>
            <w:r w:rsidR="00AE6F33" w:rsidRPr="00E9358F">
              <w:rPr>
                <w:rFonts w:ascii="Times New Roman" w:hAnsi="Times New Roman" w:cs="Times New Roman"/>
                <w:color w:val="000000"/>
                <w:sz w:val="24"/>
                <w:szCs w:val="24"/>
                <w:lang w:val="ro-RO"/>
              </w:rPr>
              <w:t xml:space="preserve"> conservare, reparații și pază a capacităților de producție</w:t>
            </w:r>
            <w:r w:rsidR="00C06E38" w:rsidRPr="00E9358F">
              <w:rPr>
                <w:rFonts w:ascii="Times New Roman" w:hAnsi="Times New Roman" w:cs="Times New Roman"/>
                <w:color w:val="000000"/>
                <w:sz w:val="24"/>
                <w:szCs w:val="24"/>
                <w:lang w:val="ro-RO"/>
              </w:rPr>
              <w:t>, activități administrative și alte activități specifice și</w:t>
            </w:r>
            <w:r w:rsidRPr="00E9358F">
              <w:rPr>
                <w:rFonts w:ascii="Times New Roman" w:hAnsi="Times New Roman" w:cs="Times New Roman"/>
                <w:color w:val="000000"/>
                <w:sz w:val="24"/>
                <w:szCs w:val="24"/>
                <w:lang w:val="ro-RO"/>
              </w:rPr>
              <w:t xml:space="preserve"> benefici</w:t>
            </w:r>
            <w:r w:rsidR="00C06E38" w:rsidRPr="00E9358F">
              <w:rPr>
                <w:rFonts w:ascii="Times New Roman" w:hAnsi="Times New Roman" w:cs="Times New Roman"/>
                <w:color w:val="000000"/>
                <w:sz w:val="24"/>
                <w:szCs w:val="24"/>
                <w:lang w:val="ro-RO"/>
              </w:rPr>
              <w:t>ază</w:t>
            </w:r>
            <w:r w:rsidRPr="00E9358F">
              <w:rPr>
                <w:rFonts w:ascii="Times New Roman" w:hAnsi="Times New Roman" w:cs="Times New Roman"/>
                <w:color w:val="000000"/>
                <w:sz w:val="24"/>
                <w:szCs w:val="24"/>
                <w:lang w:val="ro-RO"/>
              </w:rPr>
              <w:t xml:space="preserve"> de </w:t>
            </w:r>
            <w:r w:rsidR="00C06E38" w:rsidRPr="00E9358F">
              <w:rPr>
                <w:rFonts w:ascii="Times New Roman" w:hAnsi="Times New Roman" w:cs="Times New Roman"/>
                <w:color w:val="000000"/>
                <w:sz w:val="24"/>
                <w:szCs w:val="24"/>
                <w:lang w:val="ro-RO"/>
              </w:rPr>
              <w:t xml:space="preserve">sume acordate de la bugetul de stat, în vederea acoperirii </w:t>
            </w:r>
            <w:r w:rsidRPr="00E9358F">
              <w:rPr>
                <w:rFonts w:ascii="Times New Roman" w:hAnsi="Times New Roman" w:cs="Times New Roman"/>
                <w:color w:val="000000"/>
                <w:sz w:val="24"/>
                <w:szCs w:val="24"/>
                <w:lang w:val="ro-RO"/>
              </w:rPr>
              <w:t>drepturil</w:t>
            </w:r>
            <w:r w:rsidR="00C06E38" w:rsidRPr="00E9358F">
              <w:rPr>
                <w:rFonts w:ascii="Times New Roman" w:hAnsi="Times New Roman" w:cs="Times New Roman"/>
                <w:color w:val="000000"/>
                <w:sz w:val="24"/>
                <w:szCs w:val="24"/>
                <w:lang w:val="ro-RO"/>
              </w:rPr>
              <w:t>or</w:t>
            </w:r>
            <w:r w:rsidRPr="00E9358F">
              <w:rPr>
                <w:rFonts w:ascii="Times New Roman" w:hAnsi="Times New Roman" w:cs="Times New Roman"/>
                <w:color w:val="000000"/>
                <w:sz w:val="24"/>
                <w:szCs w:val="24"/>
                <w:lang w:val="ro-RO"/>
              </w:rPr>
              <w:t xml:space="preserve"> salariale</w:t>
            </w:r>
            <w:r w:rsidR="0046652B" w:rsidRPr="00E9358F">
              <w:rPr>
                <w:rFonts w:ascii="Times New Roman" w:hAnsi="Times New Roman" w:cs="Times New Roman"/>
                <w:color w:val="000000"/>
                <w:sz w:val="24"/>
                <w:szCs w:val="24"/>
                <w:lang w:val="ro-RO"/>
              </w:rPr>
              <w:t xml:space="preserve"> și a contribuțiilor de asigurări sociale datorate de angajator</w:t>
            </w:r>
            <w:r w:rsidR="00C06E38" w:rsidRPr="00E9358F">
              <w:rPr>
                <w:rFonts w:ascii="Times New Roman" w:hAnsi="Times New Roman" w:cs="Times New Roman"/>
                <w:color w:val="000000"/>
                <w:sz w:val="24"/>
                <w:szCs w:val="24"/>
                <w:lang w:val="ro-RO"/>
              </w:rPr>
              <w:t>.</w:t>
            </w:r>
            <w:r w:rsidRPr="00E9358F">
              <w:rPr>
                <w:rFonts w:ascii="Times New Roman" w:hAnsi="Times New Roman" w:cs="Times New Roman"/>
                <w:color w:val="000000"/>
                <w:sz w:val="24"/>
                <w:szCs w:val="24"/>
                <w:lang w:val="ro-RO"/>
              </w:rPr>
              <w:t xml:space="preserve"> </w:t>
            </w:r>
          </w:p>
          <w:p w14:paraId="50127D1A" w14:textId="77777777" w:rsidR="00717027" w:rsidRPr="00E9358F" w:rsidRDefault="00717027" w:rsidP="00717027">
            <w:pPr>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 xml:space="preserve">Activităţile ce pot fi desfăşurate de personalul încadrat la operatorii economici cu capital integral și/sau majoritar de stat din industria naţională de apărare, </w:t>
            </w:r>
            <w:r w:rsidRPr="00CB7B6C">
              <w:rPr>
                <w:rFonts w:ascii="Times New Roman" w:hAnsi="Times New Roman" w:cs="Times New Roman"/>
                <w:color w:val="000000"/>
                <w:sz w:val="24"/>
                <w:szCs w:val="24"/>
                <w:lang w:val="ro-RO" w:eastAsia="ro-RO"/>
              </w:rPr>
              <w:t xml:space="preserve">autorizaţi şi înscrişi în registru în conformitate cu prevederile Legii nr. 232/2016, sunt: </w:t>
            </w:r>
            <w:r w:rsidRPr="00E9358F">
              <w:rPr>
                <w:rFonts w:ascii="Times New Roman" w:hAnsi="Times New Roman" w:cs="Times New Roman"/>
                <w:color w:val="000000"/>
                <w:sz w:val="24"/>
                <w:szCs w:val="24"/>
                <w:lang w:val="ro-RO"/>
              </w:rPr>
              <w:t xml:space="preserve"> </w:t>
            </w:r>
          </w:p>
          <w:p w14:paraId="705637F1" w14:textId="77777777" w:rsidR="00717027" w:rsidRPr="00E9358F" w:rsidRDefault="00717027" w:rsidP="00717027">
            <w:pPr>
              <w:numPr>
                <w:ilvl w:val="0"/>
                <w:numId w:val="31"/>
              </w:numPr>
              <w:tabs>
                <w:tab w:val="left" w:pos="282"/>
              </w:tabs>
              <w:autoSpaceDE w:val="0"/>
              <w:autoSpaceDN w:val="0"/>
              <w:adjustRightInd w:val="0"/>
              <w:ind w:left="-78" w:firstLine="75"/>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activităţi de întreţinere, revizii, reparaţii curente şi capitale aferente clădirilor, construcţiilor speciale şi mijloacelor fixe indisolubil legate de producţia ori comerţul cu armament, muniţie şi material de război;</w:t>
            </w:r>
          </w:p>
          <w:p w14:paraId="36AD1AA1" w14:textId="77777777" w:rsidR="00717027" w:rsidRPr="00E9358F" w:rsidRDefault="00717027" w:rsidP="00717027">
            <w:pPr>
              <w:numPr>
                <w:ilvl w:val="0"/>
                <w:numId w:val="31"/>
              </w:numPr>
              <w:tabs>
                <w:tab w:val="left" w:pos="282"/>
              </w:tabs>
              <w:autoSpaceDE w:val="0"/>
              <w:autoSpaceDN w:val="0"/>
              <w:adjustRightInd w:val="0"/>
              <w:ind w:left="-78" w:firstLine="75"/>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activităţi de conservare a capacităţilor de producţie pentru apărare, care includ activităţi necesare pentru protecţia temporară împotriva coroziunii, îmbătrânirii, degradării fizice şi chimice a capacităţilor de producţie sau a unor active ale acestora, în scopul menţinerii parametrilor tehnico-funcţionali reglementaţi de instrucţiunile şi normativele tehnice şi tehnologice, pe un anumit interval de timp, determinat de lipsa de comenzi sau de imposibilitatea executării altor activităţi productive şi care sunt indisolubil legate de producţia ori comerţul cu armament, muniţie şi material de război;</w:t>
            </w:r>
          </w:p>
          <w:p w14:paraId="29E3528E" w14:textId="77777777" w:rsidR="00717027" w:rsidRPr="00E9358F" w:rsidRDefault="00717027" w:rsidP="00717027">
            <w:pPr>
              <w:numPr>
                <w:ilvl w:val="0"/>
                <w:numId w:val="31"/>
              </w:numPr>
              <w:tabs>
                <w:tab w:val="left" w:pos="282"/>
              </w:tabs>
              <w:autoSpaceDE w:val="0"/>
              <w:autoSpaceDN w:val="0"/>
              <w:adjustRightInd w:val="0"/>
              <w:ind w:left="-78" w:firstLine="75"/>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activități de pază efectuate în baza planurilor de pază ale operatorilor economici aprobate conform legii pentru activele care sunt indisolubil legate de producţia ori comerţul cu armament, muniţie şi material de război;</w:t>
            </w:r>
          </w:p>
          <w:p w14:paraId="10E2D0AE" w14:textId="77777777" w:rsidR="00717027" w:rsidRPr="00E9358F" w:rsidRDefault="00717027" w:rsidP="00717027">
            <w:pPr>
              <w:numPr>
                <w:ilvl w:val="0"/>
                <w:numId w:val="31"/>
              </w:numPr>
              <w:tabs>
                <w:tab w:val="left" w:pos="282"/>
              </w:tabs>
              <w:autoSpaceDE w:val="0"/>
              <w:autoSpaceDN w:val="0"/>
              <w:adjustRightInd w:val="0"/>
              <w:ind w:left="-78" w:firstLine="75"/>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 xml:space="preserve">activităţi de evidenţă, inventariere, gestionare documentaţii tehnice; activităţi de evidenţă şi gestionare a forţei de muncă  aferentă capacităţilor de producţie, activităţi de gestionare active </w:t>
            </w:r>
            <w:r w:rsidRPr="00E9358F">
              <w:rPr>
                <w:rFonts w:ascii="Times New Roman" w:hAnsi="Times New Roman" w:cs="Times New Roman"/>
                <w:color w:val="000000"/>
                <w:sz w:val="24"/>
                <w:szCs w:val="24"/>
                <w:lang w:val="ro-RO"/>
              </w:rPr>
              <w:lastRenderedPageBreak/>
              <w:t>corporale şi active circulante aferente capacităţilor producţiei de apărare, activităţi de întreţinere curentă a spaţiilor aferente capacităţilor producţiei de apărare şi care sunt în legătură cu activităţile prevăzute la lit. a) şi b), activităţi indisolubil legate de producţia ori comerţul cu armament, muniţie şi material de război;</w:t>
            </w:r>
          </w:p>
          <w:p w14:paraId="686C5470" w14:textId="77777777" w:rsidR="00717027" w:rsidRPr="00E9358F" w:rsidRDefault="00717027" w:rsidP="00717027">
            <w:pPr>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Ţinând cont de importanţa strategică a industriei naţionale de apărare şi de asigurarea necesarului FSNA la mobilizare, indiferent de nivelul comenzilor militare, pentru menţinerea în funcţiune a unor operatori economici este necesară susţinerea bugetară pe perioada în care aceştia nu desfăşoară activitate, din lipsă de comenzi sau contracte.</w:t>
            </w:r>
          </w:p>
          <w:p w14:paraId="1EF0337E" w14:textId="77777777" w:rsidR="00717027" w:rsidRDefault="00717027" w:rsidP="00717027">
            <w:pPr>
              <w:jc w:val="both"/>
              <w:rPr>
                <w:rFonts w:ascii="Times New Roman" w:hAnsi="Times New Roman" w:cs="Times New Roman"/>
                <w:color w:val="000000"/>
                <w:sz w:val="24"/>
                <w:szCs w:val="24"/>
                <w:lang w:val="ro-RO"/>
              </w:rPr>
            </w:pPr>
            <w:r w:rsidRPr="00E9358F">
              <w:rPr>
                <w:rFonts w:ascii="Times New Roman" w:hAnsi="Times New Roman" w:cs="Times New Roman"/>
                <w:color w:val="000000"/>
                <w:sz w:val="24"/>
                <w:szCs w:val="24"/>
                <w:lang w:val="ro-RO"/>
              </w:rPr>
              <w:t xml:space="preserve">Conform prevederilor art. 346 alin (1) lit. b) din Tratatul privind </w:t>
            </w:r>
            <w:r w:rsidR="00605DDE">
              <w:rPr>
                <w:rFonts w:ascii="Times New Roman" w:hAnsi="Times New Roman" w:cs="Times New Roman"/>
                <w:color w:val="000000"/>
                <w:sz w:val="24"/>
                <w:szCs w:val="24"/>
                <w:lang w:val="ro-RO"/>
              </w:rPr>
              <w:t>f</w:t>
            </w:r>
            <w:r w:rsidRPr="00E9358F">
              <w:rPr>
                <w:rFonts w:ascii="Times New Roman" w:hAnsi="Times New Roman" w:cs="Times New Roman"/>
                <w:color w:val="000000"/>
                <w:sz w:val="24"/>
                <w:szCs w:val="24"/>
                <w:lang w:val="ro-RO"/>
              </w:rPr>
              <w:t xml:space="preserve">uncţionarea Uniunii Europene </w:t>
            </w:r>
            <w:r w:rsidRPr="00E9358F">
              <w:rPr>
                <w:rFonts w:ascii="Times New Roman" w:hAnsi="Times New Roman" w:cs="Times New Roman"/>
                <w:i/>
                <w:color w:val="000000"/>
                <w:sz w:val="24"/>
                <w:szCs w:val="24"/>
                <w:lang w:val="ro-RO"/>
              </w:rPr>
              <w:t>„orice stat membru poate lua măsurile pe care le consideră necesare pentru protecţia intereselor esenţiale ale siguranţei sale şi care se referă la producţia sau comerţul cu armament, muniţie şi material de război; aceste măsuri nu trebuie să modifice condiţiile de concurenţă pe piaţa internă în ceea ce priveşte produsele ce nu sunt destinate unor scopuri specific militare”</w:t>
            </w:r>
            <w:r w:rsidRPr="00E9358F">
              <w:rPr>
                <w:rFonts w:ascii="Times New Roman" w:hAnsi="Times New Roman" w:cs="Times New Roman"/>
                <w:color w:val="000000"/>
                <w:sz w:val="24"/>
                <w:szCs w:val="24"/>
                <w:lang w:val="ro-RO"/>
              </w:rPr>
              <w:t>, în situaţiile mai sus menţionate, măsurile de sprijin din partea statului se pot acorda fără a fi incidente ajutorului de stat.</w:t>
            </w:r>
          </w:p>
          <w:p w14:paraId="7FF42456" w14:textId="21CC4520" w:rsidR="00717027" w:rsidRPr="006C215D" w:rsidRDefault="00D738EB" w:rsidP="00D738EB">
            <w:pPr>
              <w:jc w:val="both"/>
              <w:rPr>
                <w:rFonts w:ascii="Times New Roman" w:hAnsi="Times New Roman" w:cs="Times New Roman"/>
                <w:color w:val="000000"/>
                <w:sz w:val="24"/>
                <w:szCs w:val="24"/>
                <w:lang w:val="ro-RO"/>
              </w:rPr>
            </w:pPr>
            <w:r w:rsidRPr="00D738EB">
              <w:rPr>
                <w:rFonts w:ascii="Times New Roman" w:hAnsi="Times New Roman" w:cs="Times New Roman"/>
                <w:color w:val="000000"/>
                <w:sz w:val="24"/>
                <w:szCs w:val="24"/>
                <w:lang w:val="ro-RO"/>
              </w:rPr>
              <w:t>Sumele pentru asigurarea plăţi</w:t>
            </w:r>
            <w:r>
              <w:rPr>
                <w:rFonts w:ascii="Times New Roman" w:hAnsi="Times New Roman" w:cs="Times New Roman"/>
                <w:color w:val="000000"/>
                <w:sz w:val="24"/>
                <w:szCs w:val="24"/>
                <w:lang w:val="ro-RO"/>
              </w:rPr>
              <w:t xml:space="preserve">i drepturilor </w:t>
            </w:r>
            <w:r w:rsidRPr="00D738EB">
              <w:rPr>
                <w:rFonts w:ascii="Times New Roman" w:hAnsi="Times New Roman" w:cs="Times New Roman"/>
                <w:color w:val="000000"/>
                <w:sz w:val="24"/>
                <w:szCs w:val="24"/>
                <w:lang w:val="ro-RO"/>
              </w:rPr>
              <w:t xml:space="preserve">salariale </w:t>
            </w:r>
            <w:r>
              <w:rPr>
                <w:rFonts w:ascii="Times New Roman" w:hAnsi="Times New Roman" w:cs="Times New Roman"/>
                <w:color w:val="000000"/>
                <w:sz w:val="24"/>
                <w:szCs w:val="24"/>
                <w:lang w:val="ro-RO"/>
              </w:rPr>
              <w:t xml:space="preserve">precum și cele necesare pentru achitarea contribuțiilor datorate de angajator </w:t>
            </w:r>
            <w:r w:rsidRPr="00D738EB">
              <w:rPr>
                <w:rFonts w:ascii="Times New Roman" w:hAnsi="Times New Roman" w:cs="Times New Roman"/>
                <w:color w:val="000000"/>
                <w:sz w:val="24"/>
                <w:szCs w:val="24"/>
                <w:lang w:val="ro-RO"/>
              </w:rPr>
              <w:t>sunt prevăzute în bugetul de stat pe anul 202</w:t>
            </w:r>
            <w:r w:rsidR="009B2287">
              <w:rPr>
                <w:rFonts w:ascii="Times New Roman" w:hAnsi="Times New Roman" w:cs="Times New Roman"/>
                <w:color w:val="000000"/>
                <w:sz w:val="24"/>
                <w:szCs w:val="24"/>
                <w:lang w:val="ro-RO"/>
              </w:rPr>
              <w:t>6</w:t>
            </w:r>
            <w:r w:rsidRPr="00D738EB">
              <w:rPr>
                <w:rFonts w:ascii="Times New Roman" w:hAnsi="Times New Roman" w:cs="Times New Roman"/>
                <w:color w:val="000000"/>
                <w:sz w:val="24"/>
                <w:szCs w:val="24"/>
                <w:lang w:val="ro-RO"/>
              </w:rPr>
              <w:t xml:space="preserve">, prin bugetul </w:t>
            </w:r>
            <w:r w:rsidR="00B6710E" w:rsidRPr="00E9358F">
              <w:rPr>
                <w:rFonts w:ascii="Times New Roman" w:hAnsi="Times New Roman" w:cs="Times New Roman"/>
                <w:sz w:val="24"/>
                <w:szCs w:val="24"/>
                <w:lang w:val="ro-RO"/>
              </w:rPr>
              <w:t>Ministerului Economiei</w:t>
            </w:r>
            <w:r w:rsidR="00B6710E">
              <w:rPr>
                <w:rFonts w:ascii="Times New Roman" w:hAnsi="Times New Roman" w:cs="Times New Roman"/>
                <w:sz w:val="24"/>
                <w:szCs w:val="24"/>
                <w:lang w:val="ro-RO"/>
              </w:rPr>
              <w:t xml:space="preserve">, Digitalizării, </w:t>
            </w:r>
            <w:r w:rsidR="00B6710E" w:rsidRPr="00605DDE">
              <w:rPr>
                <w:rFonts w:ascii="Times New Roman" w:hAnsi="Times New Roman" w:cs="Times New Roman"/>
                <w:color w:val="000000"/>
                <w:sz w:val="24"/>
                <w:szCs w:val="24"/>
                <w:lang w:val="ro-RO"/>
              </w:rPr>
              <w:t>Antreprenoriatului și Turismului</w:t>
            </w:r>
            <w:r w:rsidR="00B6710E" w:rsidRPr="00D738EB">
              <w:rPr>
                <w:rFonts w:ascii="Times New Roman" w:hAnsi="Times New Roman" w:cs="Times New Roman"/>
                <w:color w:val="000000"/>
                <w:sz w:val="24"/>
                <w:szCs w:val="24"/>
                <w:lang w:val="ro-RO"/>
              </w:rPr>
              <w:t xml:space="preserve"> </w:t>
            </w:r>
            <w:r w:rsidRPr="004E12D0">
              <w:rPr>
                <w:rFonts w:ascii="Times New Roman" w:hAnsi="Times New Roman" w:cs="Times New Roman"/>
                <w:color w:val="000000"/>
                <w:sz w:val="24"/>
                <w:szCs w:val="24"/>
                <w:lang w:val="ro-RO"/>
              </w:rPr>
              <w:t xml:space="preserve">în cuantum de </w:t>
            </w:r>
            <w:r w:rsidRPr="004E12D0">
              <w:rPr>
                <w:rFonts w:ascii="Times New Roman" w:hAnsi="Times New Roman" w:cs="Times New Roman"/>
                <w:b/>
                <w:bCs/>
                <w:color w:val="000000"/>
                <w:sz w:val="24"/>
                <w:szCs w:val="24"/>
                <w:lang w:val="ro-RO"/>
              </w:rPr>
              <w:t>10</w:t>
            </w:r>
            <w:r w:rsidR="004E12D0">
              <w:rPr>
                <w:rFonts w:ascii="Times New Roman" w:hAnsi="Times New Roman" w:cs="Times New Roman"/>
                <w:b/>
                <w:bCs/>
                <w:color w:val="000000"/>
                <w:sz w:val="24"/>
                <w:szCs w:val="24"/>
                <w:lang w:val="ro-RO"/>
              </w:rPr>
              <w:t>0</w:t>
            </w:r>
            <w:r w:rsidRPr="004E12D0">
              <w:rPr>
                <w:rFonts w:ascii="Times New Roman" w:hAnsi="Times New Roman" w:cs="Times New Roman"/>
                <w:b/>
                <w:bCs/>
                <w:sz w:val="24"/>
                <w:szCs w:val="24"/>
                <w:lang w:val="ro-RO"/>
              </w:rPr>
              <w:t>.000</w:t>
            </w:r>
            <w:r w:rsidRPr="004E12D0">
              <w:rPr>
                <w:rFonts w:ascii="Times New Roman" w:hAnsi="Times New Roman" w:cs="Times New Roman"/>
                <w:b/>
                <w:bCs/>
                <w:color w:val="000000"/>
                <w:sz w:val="24"/>
                <w:szCs w:val="24"/>
                <w:lang w:val="ro-RO"/>
              </w:rPr>
              <w:t xml:space="preserve"> mii lei</w:t>
            </w:r>
            <w:r w:rsidRPr="004E12D0">
              <w:rPr>
                <w:rFonts w:ascii="Times New Roman" w:hAnsi="Times New Roman" w:cs="Times New Roman"/>
                <w:color w:val="000000"/>
                <w:sz w:val="24"/>
                <w:szCs w:val="24"/>
                <w:lang w:val="ro-RO"/>
              </w:rPr>
              <w:t xml:space="preserve"> pentru un număr mediu maxim de personal de </w:t>
            </w:r>
            <w:r w:rsidRPr="004E12D0">
              <w:rPr>
                <w:rFonts w:ascii="Times New Roman" w:hAnsi="Times New Roman" w:cs="Times New Roman"/>
                <w:b/>
                <w:bCs/>
                <w:sz w:val="24"/>
                <w:szCs w:val="24"/>
                <w:lang w:val="ro-RO"/>
              </w:rPr>
              <w:t>1.</w:t>
            </w:r>
            <w:r w:rsidR="004E12D0">
              <w:rPr>
                <w:rFonts w:ascii="Times New Roman" w:hAnsi="Times New Roman" w:cs="Times New Roman"/>
                <w:b/>
                <w:bCs/>
                <w:sz w:val="24"/>
                <w:szCs w:val="24"/>
                <w:lang w:val="ro-RO"/>
              </w:rPr>
              <w:t>182</w:t>
            </w:r>
            <w:r w:rsidRPr="004E12D0">
              <w:rPr>
                <w:rFonts w:ascii="Times New Roman" w:hAnsi="Times New Roman" w:cs="Times New Roman"/>
                <w:b/>
                <w:bCs/>
                <w:color w:val="000000"/>
                <w:sz w:val="24"/>
                <w:szCs w:val="24"/>
                <w:lang w:val="ro-RO"/>
              </w:rPr>
              <w:t xml:space="preserve"> salariaţi</w:t>
            </w:r>
            <w:r w:rsidR="00320616" w:rsidRPr="004E12D0">
              <w:rPr>
                <w:rFonts w:ascii="Times New Roman" w:hAnsi="Times New Roman" w:cs="Times New Roman"/>
                <w:b/>
                <w:bCs/>
                <w:color w:val="000000"/>
                <w:sz w:val="24"/>
                <w:szCs w:val="24"/>
                <w:lang w:val="ro-RO"/>
              </w:rPr>
              <w:t>.</w:t>
            </w:r>
            <w:r w:rsidRPr="00D738EB">
              <w:rPr>
                <w:rFonts w:ascii="Times New Roman" w:hAnsi="Times New Roman" w:cs="Times New Roman"/>
                <w:color w:val="000000"/>
                <w:sz w:val="24"/>
                <w:szCs w:val="24"/>
                <w:lang w:val="ro-RO"/>
              </w:rPr>
              <w:t xml:space="preserve"> </w:t>
            </w:r>
            <w:r w:rsidR="004A0503">
              <w:rPr>
                <w:rFonts w:ascii="Times New Roman" w:hAnsi="Times New Roman" w:cs="Times New Roman"/>
                <w:color w:val="000000"/>
                <w:sz w:val="24"/>
                <w:szCs w:val="24"/>
                <w:lang w:val="ro-RO"/>
              </w:rPr>
              <w:t xml:space="preserve"> </w:t>
            </w:r>
          </w:p>
        </w:tc>
      </w:tr>
      <w:tr w:rsidR="00717027" w:rsidRPr="00CB7B6C" w14:paraId="28E089EB" w14:textId="77777777" w:rsidTr="00605DDE">
        <w:trPr>
          <w:jc w:val="center"/>
        </w:trPr>
        <w:tc>
          <w:tcPr>
            <w:tcW w:w="9493" w:type="dxa"/>
            <w:gridSpan w:val="7"/>
            <w:tcBorders>
              <w:bottom w:val="single" w:sz="4" w:space="0" w:color="auto"/>
            </w:tcBorders>
          </w:tcPr>
          <w:p w14:paraId="5ECEA777" w14:textId="77777777" w:rsidR="00717027" w:rsidRPr="005C4DC0" w:rsidRDefault="00717027" w:rsidP="00717027">
            <w:pPr>
              <w:rPr>
                <w:rFonts w:ascii="Times New Roman" w:eastAsiaTheme="majorEastAsia" w:hAnsi="Times New Roman" w:cs="Times New Roman"/>
                <w:sz w:val="24"/>
                <w:szCs w:val="24"/>
                <w:lang w:val="ro-RO" w:eastAsia="en-US"/>
              </w:rPr>
            </w:pPr>
            <w:r w:rsidRPr="005C4DC0">
              <w:rPr>
                <w:rFonts w:ascii="Times New Roman" w:eastAsiaTheme="majorEastAsia" w:hAnsi="Times New Roman" w:cs="Times New Roman"/>
                <w:sz w:val="24"/>
                <w:szCs w:val="24"/>
                <w:lang w:val="ro-RO" w:eastAsia="en-US"/>
              </w:rPr>
              <w:lastRenderedPageBreak/>
              <w:t>2.3 Schimbări preconizate</w:t>
            </w:r>
          </w:p>
          <w:p w14:paraId="38FB5E7E" w14:textId="77777777" w:rsidR="005C4DC0" w:rsidRPr="005C4DC0" w:rsidRDefault="005C4DC0" w:rsidP="005C4DC0">
            <w:pPr>
              <w:jc w:val="both"/>
              <w:rPr>
                <w:rFonts w:ascii="Times New Roman" w:hAnsi="Times New Roman" w:cs="Times New Roman"/>
                <w:color w:val="000000"/>
                <w:sz w:val="24"/>
                <w:szCs w:val="24"/>
                <w:lang w:val="ro-RO"/>
              </w:rPr>
            </w:pPr>
            <w:r w:rsidRPr="005C4DC0">
              <w:rPr>
                <w:rFonts w:ascii="Times New Roman" w:hAnsi="Times New Roman" w:cs="Times New Roman"/>
                <w:color w:val="000000"/>
                <w:sz w:val="24"/>
                <w:szCs w:val="24"/>
                <w:lang w:val="ro-RO"/>
              </w:rPr>
              <w:t xml:space="preserve">Prin proiectul de </w:t>
            </w:r>
            <w:r w:rsidR="00A11365">
              <w:rPr>
                <w:rFonts w:ascii="Times New Roman" w:hAnsi="Times New Roman" w:cs="Times New Roman"/>
                <w:color w:val="000000"/>
                <w:sz w:val="24"/>
                <w:szCs w:val="24"/>
                <w:lang w:val="ro-RO"/>
              </w:rPr>
              <w:t xml:space="preserve">act normativ </w:t>
            </w:r>
            <w:r w:rsidRPr="005C4DC0">
              <w:rPr>
                <w:rFonts w:ascii="Times New Roman" w:hAnsi="Times New Roman" w:cs="Times New Roman"/>
                <w:color w:val="000000"/>
                <w:sz w:val="24"/>
                <w:szCs w:val="24"/>
                <w:lang w:val="ro-RO"/>
              </w:rPr>
              <w:t xml:space="preserve">se asigură protecţia personalului şi implicit a operatorilor economici, în perioadele neacoperite cu comenzi sau contracte a operatorilor economici </w:t>
            </w:r>
            <w:r w:rsidR="00D738EB" w:rsidRPr="00E9358F">
              <w:rPr>
                <w:rFonts w:ascii="Times New Roman" w:hAnsi="Times New Roman" w:cs="Times New Roman"/>
                <w:color w:val="000000"/>
                <w:sz w:val="24"/>
                <w:szCs w:val="24"/>
                <w:lang w:val="ro-RO"/>
              </w:rPr>
              <w:t xml:space="preserve">cu capital majoritar și/sau integral de stat </w:t>
            </w:r>
            <w:r w:rsidRPr="005C4DC0">
              <w:rPr>
                <w:rFonts w:ascii="Times New Roman" w:hAnsi="Times New Roman" w:cs="Times New Roman"/>
                <w:color w:val="000000"/>
                <w:sz w:val="24"/>
                <w:szCs w:val="24"/>
                <w:lang w:val="ro-RO"/>
              </w:rPr>
              <w:t>din industria naţională de apărare.</w:t>
            </w:r>
          </w:p>
          <w:p w14:paraId="1E64CE95" w14:textId="15BB52FD" w:rsidR="005C4DC0" w:rsidRPr="00ED6BCC" w:rsidRDefault="005C4DC0" w:rsidP="005C4DC0">
            <w:pPr>
              <w:jc w:val="both"/>
              <w:rPr>
                <w:rFonts w:ascii="Times New Roman" w:hAnsi="Times New Roman" w:cs="Times New Roman"/>
                <w:sz w:val="24"/>
                <w:szCs w:val="24"/>
                <w:lang w:val="ro-RO"/>
              </w:rPr>
            </w:pPr>
            <w:r w:rsidRPr="00ED6BCC">
              <w:rPr>
                <w:rFonts w:ascii="Times New Roman" w:hAnsi="Times New Roman" w:cs="Times New Roman"/>
                <w:i/>
                <w:sz w:val="24"/>
                <w:szCs w:val="24"/>
                <w:lang w:val="ro-RO"/>
              </w:rPr>
              <w:t>Operatorii economici beneficiari ai sumelor alocate</w:t>
            </w:r>
            <w:r w:rsidR="000017F3" w:rsidRPr="00ED6BCC">
              <w:rPr>
                <w:rFonts w:ascii="Times New Roman" w:hAnsi="Times New Roman" w:cs="Times New Roman"/>
                <w:i/>
                <w:sz w:val="24"/>
                <w:szCs w:val="24"/>
                <w:lang w:val="ro-RO"/>
              </w:rPr>
              <w:t xml:space="preserve"> de la bugetul de stat </w:t>
            </w:r>
            <w:r w:rsidRPr="00ED6BCC">
              <w:rPr>
                <w:rFonts w:ascii="Times New Roman" w:hAnsi="Times New Roman" w:cs="Times New Roman"/>
                <w:i/>
                <w:sz w:val="24"/>
                <w:szCs w:val="24"/>
                <w:lang w:val="ro-RO"/>
              </w:rPr>
              <w:t>sunt C</w:t>
            </w:r>
            <w:r w:rsidR="00320616" w:rsidRPr="00ED6BCC">
              <w:rPr>
                <w:rFonts w:ascii="Times New Roman" w:hAnsi="Times New Roman" w:cs="Times New Roman"/>
                <w:i/>
                <w:sz w:val="24"/>
                <w:szCs w:val="24"/>
                <w:lang w:val="ro-RO"/>
              </w:rPr>
              <w:t xml:space="preserve">ompania </w:t>
            </w:r>
            <w:r w:rsidRPr="00ED6BCC">
              <w:rPr>
                <w:rFonts w:ascii="Times New Roman" w:hAnsi="Times New Roman" w:cs="Times New Roman"/>
                <w:i/>
                <w:sz w:val="24"/>
                <w:szCs w:val="24"/>
                <w:lang w:val="ro-RO"/>
              </w:rPr>
              <w:t>N</w:t>
            </w:r>
            <w:r w:rsidR="00320616" w:rsidRPr="00ED6BCC">
              <w:rPr>
                <w:rFonts w:ascii="Times New Roman" w:hAnsi="Times New Roman" w:cs="Times New Roman"/>
                <w:i/>
                <w:sz w:val="24"/>
                <w:szCs w:val="24"/>
                <w:lang w:val="ro-RO"/>
              </w:rPr>
              <w:t>ațională</w:t>
            </w:r>
            <w:r w:rsidRPr="00ED6BCC">
              <w:rPr>
                <w:rFonts w:ascii="Times New Roman" w:hAnsi="Times New Roman" w:cs="Times New Roman"/>
                <w:i/>
                <w:sz w:val="24"/>
                <w:szCs w:val="24"/>
                <w:lang w:val="ro-RO"/>
              </w:rPr>
              <w:t xml:space="preserve"> ROMARM S</w:t>
            </w:r>
            <w:r w:rsidR="00723205">
              <w:rPr>
                <w:rFonts w:ascii="Times New Roman" w:hAnsi="Times New Roman" w:cs="Times New Roman"/>
                <w:i/>
                <w:sz w:val="24"/>
                <w:szCs w:val="24"/>
                <w:lang w:val="ro-RO"/>
              </w:rPr>
              <w:t>.</w:t>
            </w:r>
            <w:r w:rsidRPr="00ED6BCC">
              <w:rPr>
                <w:rFonts w:ascii="Times New Roman" w:hAnsi="Times New Roman" w:cs="Times New Roman"/>
                <w:i/>
                <w:sz w:val="24"/>
                <w:szCs w:val="24"/>
                <w:lang w:val="ro-RO"/>
              </w:rPr>
              <w:t>A</w:t>
            </w:r>
            <w:r w:rsidR="00723205">
              <w:rPr>
                <w:rFonts w:ascii="Times New Roman" w:hAnsi="Times New Roman" w:cs="Times New Roman"/>
                <w:i/>
                <w:sz w:val="24"/>
                <w:szCs w:val="24"/>
                <w:lang w:val="ro-RO"/>
              </w:rPr>
              <w:t xml:space="preserve">. </w:t>
            </w:r>
            <w:r w:rsidR="0082418D" w:rsidRPr="00ED6BCC">
              <w:rPr>
                <w:rFonts w:ascii="Times New Roman" w:hAnsi="Times New Roman" w:cs="Times New Roman"/>
                <w:i/>
                <w:sz w:val="24"/>
                <w:szCs w:val="24"/>
                <w:lang w:val="ro-RO"/>
              </w:rPr>
              <w:t>- exclusiv pentru filialele sale</w:t>
            </w:r>
            <w:r w:rsidRPr="00ED6BCC">
              <w:rPr>
                <w:rFonts w:ascii="Times New Roman" w:hAnsi="Times New Roman" w:cs="Times New Roman"/>
                <w:i/>
                <w:sz w:val="24"/>
                <w:szCs w:val="24"/>
                <w:lang w:val="ro-RO"/>
              </w:rPr>
              <w:t xml:space="preserve"> pentru un număr mediu maxim de </w:t>
            </w:r>
            <w:r w:rsidR="00612F8A" w:rsidRPr="00ED6BCC">
              <w:rPr>
                <w:rFonts w:ascii="Times New Roman" w:hAnsi="Times New Roman" w:cs="Times New Roman"/>
                <w:i/>
                <w:sz w:val="24"/>
                <w:szCs w:val="24"/>
                <w:lang w:val="ro-RO"/>
              </w:rPr>
              <w:t>1.</w:t>
            </w:r>
            <w:r w:rsidR="004E12D0">
              <w:rPr>
                <w:rFonts w:ascii="Times New Roman" w:hAnsi="Times New Roman" w:cs="Times New Roman"/>
                <w:i/>
                <w:sz w:val="24"/>
                <w:szCs w:val="24"/>
                <w:lang w:val="ro-RO"/>
              </w:rPr>
              <w:t>034</w:t>
            </w:r>
            <w:r w:rsidRPr="00ED6BCC">
              <w:rPr>
                <w:rFonts w:ascii="Times New Roman" w:hAnsi="Times New Roman" w:cs="Times New Roman"/>
                <w:i/>
                <w:sz w:val="24"/>
                <w:szCs w:val="24"/>
                <w:lang w:val="ro-RO"/>
              </w:rPr>
              <w:t xml:space="preserve"> salariaţi</w:t>
            </w:r>
            <w:r w:rsidR="00320616" w:rsidRPr="00ED6BCC">
              <w:rPr>
                <w:rFonts w:ascii="Times New Roman" w:hAnsi="Times New Roman" w:cs="Times New Roman"/>
                <w:i/>
                <w:sz w:val="24"/>
                <w:szCs w:val="24"/>
                <w:lang w:val="ro-RO"/>
              </w:rPr>
              <w:t xml:space="preserve">, </w:t>
            </w:r>
            <w:r w:rsidRPr="00ED6BCC">
              <w:rPr>
                <w:rFonts w:ascii="Times New Roman" w:hAnsi="Times New Roman" w:cs="Times New Roman"/>
                <w:i/>
                <w:sz w:val="24"/>
                <w:szCs w:val="24"/>
                <w:lang w:val="ro-RO"/>
              </w:rPr>
              <w:t>S</w:t>
            </w:r>
            <w:r w:rsidR="00320616" w:rsidRPr="00ED6BCC">
              <w:rPr>
                <w:rFonts w:ascii="Times New Roman" w:hAnsi="Times New Roman" w:cs="Times New Roman"/>
                <w:i/>
                <w:sz w:val="24"/>
                <w:szCs w:val="24"/>
                <w:lang w:val="ro-RO"/>
              </w:rPr>
              <w:t>ocietatea</w:t>
            </w:r>
            <w:r w:rsidR="0082418D" w:rsidRPr="00ED6BCC">
              <w:rPr>
                <w:rFonts w:ascii="Times New Roman" w:hAnsi="Times New Roman" w:cs="Times New Roman"/>
                <w:i/>
                <w:sz w:val="24"/>
                <w:szCs w:val="24"/>
                <w:lang w:val="ro-RO"/>
              </w:rPr>
              <w:t xml:space="preserve"> ROMAERO</w:t>
            </w:r>
            <w:r w:rsidRPr="00ED6BCC">
              <w:rPr>
                <w:rFonts w:ascii="Times New Roman" w:hAnsi="Times New Roman" w:cs="Times New Roman"/>
                <w:i/>
                <w:sz w:val="24"/>
                <w:szCs w:val="24"/>
                <w:lang w:val="ro-RO"/>
              </w:rPr>
              <w:t xml:space="preserve"> S</w:t>
            </w:r>
            <w:r w:rsidR="00723205">
              <w:rPr>
                <w:rFonts w:ascii="Times New Roman" w:hAnsi="Times New Roman" w:cs="Times New Roman"/>
                <w:i/>
                <w:sz w:val="24"/>
                <w:szCs w:val="24"/>
                <w:lang w:val="ro-RO"/>
              </w:rPr>
              <w:t>.</w:t>
            </w:r>
            <w:r w:rsidRPr="00ED6BCC">
              <w:rPr>
                <w:rFonts w:ascii="Times New Roman" w:hAnsi="Times New Roman" w:cs="Times New Roman"/>
                <w:i/>
                <w:sz w:val="24"/>
                <w:szCs w:val="24"/>
                <w:lang w:val="ro-RO"/>
              </w:rPr>
              <w:t>A</w:t>
            </w:r>
            <w:r w:rsidR="00723205">
              <w:rPr>
                <w:rFonts w:ascii="Times New Roman" w:hAnsi="Times New Roman" w:cs="Times New Roman"/>
                <w:i/>
                <w:sz w:val="24"/>
                <w:szCs w:val="24"/>
                <w:lang w:val="ro-RO"/>
              </w:rPr>
              <w:t xml:space="preserve">.-în insolvență </w:t>
            </w:r>
            <w:r w:rsidRPr="00ED6BCC">
              <w:rPr>
                <w:rFonts w:ascii="Times New Roman" w:hAnsi="Times New Roman" w:cs="Times New Roman"/>
                <w:i/>
                <w:sz w:val="24"/>
                <w:szCs w:val="24"/>
                <w:lang w:val="ro-RO"/>
              </w:rPr>
              <w:t xml:space="preserve">pentru un număr mediu maxim de </w:t>
            </w:r>
            <w:r w:rsidR="004E12D0">
              <w:rPr>
                <w:rFonts w:ascii="Times New Roman" w:hAnsi="Times New Roman" w:cs="Times New Roman"/>
                <w:i/>
                <w:sz w:val="24"/>
                <w:szCs w:val="24"/>
                <w:lang w:val="ro-RO"/>
              </w:rPr>
              <w:t>50</w:t>
            </w:r>
            <w:r w:rsidRPr="00ED6BCC">
              <w:rPr>
                <w:rFonts w:ascii="Times New Roman" w:hAnsi="Times New Roman" w:cs="Times New Roman"/>
                <w:i/>
                <w:sz w:val="24"/>
                <w:szCs w:val="24"/>
                <w:lang w:val="ro-RO"/>
              </w:rPr>
              <w:t xml:space="preserve"> salariaţi</w:t>
            </w:r>
            <w:r w:rsidR="00320616" w:rsidRPr="00ED6BCC">
              <w:rPr>
                <w:rFonts w:ascii="Times New Roman" w:hAnsi="Times New Roman" w:cs="Times New Roman"/>
                <w:i/>
                <w:sz w:val="24"/>
                <w:szCs w:val="24"/>
                <w:lang w:val="ro-RO"/>
              </w:rPr>
              <w:t>, Societatea AVIOANE CRAIOVA S.A.</w:t>
            </w:r>
            <w:r w:rsidR="00723205">
              <w:rPr>
                <w:rFonts w:ascii="Times New Roman" w:hAnsi="Times New Roman" w:cs="Times New Roman"/>
                <w:i/>
                <w:sz w:val="24"/>
                <w:szCs w:val="24"/>
                <w:lang w:val="ro-RO"/>
              </w:rPr>
              <w:t xml:space="preserve"> </w:t>
            </w:r>
            <w:r w:rsidR="00320616" w:rsidRPr="00ED6BCC">
              <w:rPr>
                <w:rFonts w:ascii="Times New Roman" w:hAnsi="Times New Roman" w:cs="Times New Roman"/>
                <w:i/>
                <w:sz w:val="24"/>
                <w:szCs w:val="24"/>
                <w:lang w:val="ro-RO"/>
              </w:rPr>
              <w:t xml:space="preserve">pentru un număr mediu maxim de </w:t>
            </w:r>
            <w:r w:rsidR="0096676D">
              <w:rPr>
                <w:rFonts w:ascii="Times New Roman" w:hAnsi="Times New Roman" w:cs="Times New Roman"/>
                <w:i/>
                <w:sz w:val="24"/>
                <w:szCs w:val="24"/>
                <w:lang w:val="ro-RO"/>
              </w:rPr>
              <w:t>5</w:t>
            </w:r>
            <w:r w:rsidR="004E12D0">
              <w:rPr>
                <w:rFonts w:ascii="Times New Roman" w:hAnsi="Times New Roman" w:cs="Times New Roman"/>
                <w:i/>
                <w:sz w:val="24"/>
                <w:szCs w:val="24"/>
                <w:lang w:val="ro-RO"/>
              </w:rPr>
              <w:t>0</w:t>
            </w:r>
            <w:r w:rsidR="00612F8A" w:rsidRPr="00ED6BCC">
              <w:rPr>
                <w:rFonts w:ascii="Times New Roman" w:hAnsi="Times New Roman" w:cs="Times New Roman"/>
                <w:i/>
                <w:sz w:val="24"/>
                <w:szCs w:val="24"/>
                <w:lang w:val="ro-RO"/>
              </w:rPr>
              <w:t xml:space="preserve"> </w:t>
            </w:r>
            <w:r w:rsidR="00320616" w:rsidRPr="00ED6BCC">
              <w:rPr>
                <w:rFonts w:ascii="Times New Roman" w:hAnsi="Times New Roman" w:cs="Times New Roman"/>
                <w:i/>
                <w:sz w:val="24"/>
                <w:szCs w:val="24"/>
                <w:lang w:val="ro-RO"/>
              </w:rPr>
              <w:t>salariaţi, Societatea IOR S.A.</w:t>
            </w:r>
            <w:r w:rsidR="00723205">
              <w:rPr>
                <w:rFonts w:ascii="Times New Roman" w:hAnsi="Times New Roman" w:cs="Times New Roman"/>
                <w:i/>
                <w:sz w:val="24"/>
                <w:szCs w:val="24"/>
                <w:lang w:val="ro-RO"/>
              </w:rPr>
              <w:t xml:space="preserve"> </w:t>
            </w:r>
            <w:r w:rsidR="00320616" w:rsidRPr="00ED6BCC">
              <w:rPr>
                <w:rFonts w:ascii="Times New Roman" w:hAnsi="Times New Roman" w:cs="Times New Roman"/>
                <w:i/>
                <w:sz w:val="24"/>
                <w:szCs w:val="24"/>
                <w:lang w:val="ro-RO"/>
              </w:rPr>
              <w:t xml:space="preserve">pentru un număr mediu maxim de </w:t>
            </w:r>
            <w:r w:rsidR="004E12D0">
              <w:rPr>
                <w:rFonts w:ascii="Times New Roman" w:hAnsi="Times New Roman" w:cs="Times New Roman"/>
                <w:i/>
                <w:sz w:val="24"/>
                <w:szCs w:val="24"/>
                <w:lang w:val="ro-RO"/>
              </w:rPr>
              <w:t>30</w:t>
            </w:r>
            <w:r w:rsidR="00320616" w:rsidRPr="00ED6BCC">
              <w:rPr>
                <w:rFonts w:ascii="Times New Roman" w:hAnsi="Times New Roman" w:cs="Times New Roman"/>
                <w:i/>
                <w:sz w:val="24"/>
                <w:szCs w:val="24"/>
                <w:lang w:val="ro-RO"/>
              </w:rPr>
              <w:t xml:space="preserve"> salariaţi, Societatea ȘANTIERUL NAVAL MANGALIA S.A. pentru un număr mediu maxim de </w:t>
            </w:r>
            <w:r w:rsidR="004E12D0">
              <w:rPr>
                <w:rFonts w:ascii="Times New Roman" w:hAnsi="Times New Roman" w:cs="Times New Roman"/>
                <w:i/>
                <w:sz w:val="24"/>
                <w:szCs w:val="24"/>
                <w:lang w:val="ro-RO"/>
              </w:rPr>
              <w:t>8</w:t>
            </w:r>
            <w:r w:rsidR="00320616" w:rsidRPr="00ED6BCC">
              <w:rPr>
                <w:rFonts w:ascii="Times New Roman" w:hAnsi="Times New Roman" w:cs="Times New Roman"/>
                <w:i/>
                <w:sz w:val="24"/>
                <w:szCs w:val="24"/>
                <w:lang w:val="ro-RO"/>
              </w:rPr>
              <w:t xml:space="preserve"> salariaţi și Societatea UZINA MECANICĂ ORĂȘTIE S.A. pentru un număr mediu maxim de </w:t>
            </w:r>
            <w:r w:rsidR="004E12D0">
              <w:rPr>
                <w:rFonts w:ascii="Times New Roman" w:hAnsi="Times New Roman" w:cs="Times New Roman"/>
                <w:i/>
                <w:sz w:val="24"/>
                <w:szCs w:val="24"/>
                <w:lang w:val="ro-RO"/>
              </w:rPr>
              <w:t>10</w:t>
            </w:r>
            <w:r w:rsidR="00320616" w:rsidRPr="00ED6BCC">
              <w:rPr>
                <w:rFonts w:ascii="Times New Roman" w:hAnsi="Times New Roman" w:cs="Times New Roman"/>
                <w:i/>
                <w:sz w:val="24"/>
                <w:szCs w:val="24"/>
                <w:lang w:val="ro-RO"/>
              </w:rPr>
              <w:t xml:space="preserve"> salariaţi. </w:t>
            </w:r>
            <w:r w:rsidRPr="00ED6BCC">
              <w:rPr>
                <w:rFonts w:ascii="Times New Roman" w:hAnsi="Times New Roman" w:cs="Times New Roman"/>
                <w:i/>
                <w:sz w:val="24"/>
                <w:szCs w:val="24"/>
                <w:lang w:val="ro-RO"/>
              </w:rPr>
              <w:t xml:space="preserve">   </w:t>
            </w:r>
          </w:p>
          <w:p w14:paraId="1C55F68F" w14:textId="77777777" w:rsidR="00EC04EE" w:rsidRPr="000017F3" w:rsidRDefault="005C4DC0" w:rsidP="005C4DC0">
            <w:pPr>
              <w:spacing w:line="276" w:lineRule="auto"/>
              <w:ind w:right="57"/>
              <w:jc w:val="both"/>
              <w:rPr>
                <w:rFonts w:ascii="Times New Roman" w:hAnsi="Times New Roman" w:cs="Times New Roman"/>
                <w:color w:val="000000"/>
                <w:sz w:val="24"/>
                <w:szCs w:val="24"/>
                <w:lang w:val="ro-RO"/>
              </w:rPr>
            </w:pPr>
            <w:r w:rsidRPr="00ED6BCC">
              <w:rPr>
                <w:rFonts w:ascii="Times New Roman" w:hAnsi="Times New Roman" w:cs="Times New Roman"/>
                <w:sz w:val="24"/>
                <w:szCs w:val="24"/>
                <w:lang w:val="ro-RO"/>
              </w:rPr>
              <w:t xml:space="preserve">Proiectul de act normativ oferă operatorilor economici </w:t>
            </w:r>
            <w:r w:rsidRPr="005C4DC0">
              <w:rPr>
                <w:rFonts w:ascii="Times New Roman" w:hAnsi="Times New Roman" w:cs="Times New Roman"/>
                <w:color w:val="000000"/>
                <w:sz w:val="24"/>
                <w:szCs w:val="24"/>
                <w:lang w:val="ro-RO"/>
              </w:rPr>
              <w:t>posibilitatea păstrării personalului specializat în realizarea produselor specifice sectorului de apărare, menţinerii în stare de funcţiune a capacităţilor de producţie specializate, realizării programelor strategice de înzestrare ale armatei aprobate prin Hotărârile Consiliului Suprem de Apărare a Ţării şi satisfacerii necesarului de produse şi servicii la mobilizare sau război.</w:t>
            </w:r>
          </w:p>
        </w:tc>
      </w:tr>
      <w:tr w:rsidR="00717027" w:rsidRPr="00CB7B6C" w14:paraId="76AFBD1D" w14:textId="77777777" w:rsidTr="00605DDE">
        <w:trPr>
          <w:jc w:val="center"/>
        </w:trPr>
        <w:tc>
          <w:tcPr>
            <w:tcW w:w="9493" w:type="dxa"/>
            <w:gridSpan w:val="7"/>
            <w:tcBorders>
              <w:bottom w:val="single" w:sz="4" w:space="0" w:color="auto"/>
            </w:tcBorders>
          </w:tcPr>
          <w:p w14:paraId="4917B82A" w14:textId="77777777" w:rsidR="00717027" w:rsidRPr="00E9358F" w:rsidRDefault="00717027" w:rsidP="00717027">
            <w:pPr>
              <w:rPr>
                <w:rFonts w:ascii="Times New Roman" w:eastAsiaTheme="majorEastAsia" w:hAnsi="Times New Roman" w:cs="Times New Roman"/>
                <w:bCs/>
                <w:sz w:val="24"/>
                <w:szCs w:val="24"/>
                <w:lang w:val="ro-RO" w:eastAsia="en-US"/>
              </w:rPr>
            </w:pPr>
            <w:r w:rsidRPr="00E9358F">
              <w:rPr>
                <w:rFonts w:ascii="Times New Roman" w:eastAsiaTheme="majorEastAsia" w:hAnsi="Times New Roman" w:cs="Times New Roman"/>
                <w:bCs/>
                <w:sz w:val="24"/>
                <w:szCs w:val="24"/>
                <w:lang w:val="ro-RO" w:eastAsia="en-US"/>
              </w:rPr>
              <w:t xml:space="preserve">2.4 Alte informații </w:t>
            </w:r>
          </w:p>
          <w:p w14:paraId="2E00FB26" w14:textId="0EA4A0CB" w:rsidR="00717027" w:rsidRPr="00CB7B6C" w:rsidRDefault="004E541A" w:rsidP="000017F3">
            <w:pPr>
              <w:spacing w:after="120"/>
              <w:jc w:val="both"/>
              <w:outlineLvl w:val="0"/>
              <w:rPr>
                <w:rFonts w:ascii="Times New Roman" w:hAnsi="Times New Roman" w:cs="Times New Roman"/>
                <w:bCs/>
                <w:sz w:val="24"/>
                <w:szCs w:val="24"/>
                <w:lang w:val="pt-BR"/>
              </w:rPr>
            </w:pPr>
            <w:r w:rsidRPr="00CB7B6C">
              <w:rPr>
                <w:rFonts w:ascii="Times New Roman" w:hAnsi="Times New Roman" w:cs="Times New Roman"/>
                <w:bCs/>
                <w:sz w:val="24"/>
                <w:szCs w:val="24"/>
                <w:lang w:val="pt-BR"/>
              </w:rPr>
              <w:t>Numărul mediu maxim de personal de 1.182 de salariaţi a fost fundamentat având în vedere câştigul salarial mediu brut utilizat la fundamentarea bugetului asigurărilor sociale de stat pe anul 2026, în valoare de 9.192 lei, precum şi aplicarea procentului de 75%, conform prevederilor art. 24 din Legea nr. 232/2016 privind industria naţională de apărare, cu modificările şi completările ulterioare, rezultând o valoare de 6.894 lei.</w:t>
            </w:r>
          </w:p>
        </w:tc>
      </w:tr>
      <w:tr w:rsidR="00717027" w:rsidRPr="00CB7B6C" w14:paraId="22063FA0" w14:textId="77777777" w:rsidTr="00605DDE">
        <w:trPr>
          <w:jc w:val="center"/>
        </w:trPr>
        <w:tc>
          <w:tcPr>
            <w:tcW w:w="9493" w:type="dxa"/>
            <w:gridSpan w:val="7"/>
            <w:tcBorders>
              <w:bottom w:val="single" w:sz="4" w:space="0" w:color="auto"/>
            </w:tcBorders>
          </w:tcPr>
          <w:p w14:paraId="4EF6F958" w14:textId="77777777" w:rsidR="00717027" w:rsidRPr="00E9358F" w:rsidRDefault="00717027" w:rsidP="00717027">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Secțiunea a 3-a:</w:t>
            </w:r>
          </w:p>
          <w:p w14:paraId="73C88FE3" w14:textId="77777777" w:rsidR="00717027" w:rsidRDefault="00717027" w:rsidP="003E350F">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Impactul socioeconomic **)</w:t>
            </w:r>
          </w:p>
          <w:p w14:paraId="7044FF62" w14:textId="77777777" w:rsidR="000017F3" w:rsidRPr="00E9358F" w:rsidRDefault="000017F3" w:rsidP="003E350F">
            <w:pPr>
              <w:jc w:val="center"/>
              <w:rPr>
                <w:rFonts w:ascii="Times New Roman" w:eastAsiaTheme="majorEastAsia" w:hAnsi="Times New Roman" w:cs="Times New Roman"/>
                <w:b/>
                <w:sz w:val="24"/>
                <w:szCs w:val="24"/>
                <w:lang w:val="ro-RO" w:eastAsia="en-US"/>
              </w:rPr>
            </w:pPr>
          </w:p>
        </w:tc>
      </w:tr>
      <w:tr w:rsidR="00717027" w:rsidRPr="00E9358F" w14:paraId="7ABDFF9A" w14:textId="77777777" w:rsidTr="00605DDE">
        <w:trPr>
          <w:jc w:val="center"/>
        </w:trPr>
        <w:tc>
          <w:tcPr>
            <w:tcW w:w="9493" w:type="dxa"/>
            <w:gridSpan w:val="7"/>
            <w:tcBorders>
              <w:top w:val="single" w:sz="4" w:space="0" w:color="auto"/>
            </w:tcBorders>
          </w:tcPr>
          <w:p w14:paraId="64C39BB0"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3.1 Descrierea generală a beneficiilor și costurilor estimate ca urmare a intrării în vigoare a actului normativ</w:t>
            </w:r>
          </w:p>
          <w:p w14:paraId="3F38A27A" w14:textId="77777777" w:rsidR="00717027" w:rsidRPr="00E9358F" w:rsidRDefault="00717027" w:rsidP="007E1B84">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E9358F" w14:paraId="026499BB" w14:textId="77777777" w:rsidTr="00605DDE">
        <w:trPr>
          <w:jc w:val="center"/>
        </w:trPr>
        <w:tc>
          <w:tcPr>
            <w:tcW w:w="9493" w:type="dxa"/>
            <w:gridSpan w:val="7"/>
          </w:tcPr>
          <w:p w14:paraId="6603BC9E"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3.2 Impactul social</w:t>
            </w:r>
          </w:p>
          <w:p w14:paraId="3867D509"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lastRenderedPageBreak/>
              <w:t xml:space="preserve">Implementarea prezentei hotărâri de Guvern </w:t>
            </w:r>
            <w:r w:rsidR="00EC04EE">
              <w:rPr>
                <w:rFonts w:ascii="Times New Roman" w:eastAsiaTheme="majorEastAsia" w:hAnsi="Times New Roman" w:cs="Times New Roman"/>
                <w:sz w:val="24"/>
                <w:szCs w:val="24"/>
                <w:lang w:val="ro-RO" w:eastAsia="en-US"/>
              </w:rPr>
              <w:t>are un caracter pozitiv, asigurarea măsurilor de sprijin financiar conducând la păstrarea locurilor de muncă și la menținerea în circuitul productiv a specialiștilor în domeniu.</w:t>
            </w:r>
          </w:p>
        </w:tc>
      </w:tr>
      <w:tr w:rsidR="00717027" w:rsidRPr="00E9358F" w14:paraId="5049965B" w14:textId="77777777" w:rsidTr="00605DDE">
        <w:trPr>
          <w:jc w:val="center"/>
        </w:trPr>
        <w:tc>
          <w:tcPr>
            <w:tcW w:w="9493" w:type="dxa"/>
            <w:gridSpan w:val="7"/>
          </w:tcPr>
          <w:p w14:paraId="686A5E24"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lastRenderedPageBreak/>
              <w:t>3.3 Impactul asupra drepturilor și libertăților fundamentale ale omului</w:t>
            </w:r>
          </w:p>
          <w:p w14:paraId="53AA88A9"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E9358F" w14:paraId="2CAC3958" w14:textId="77777777" w:rsidTr="00605DDE">
        <w:trPr>
          <w:jc w:val="center"/>
        </w:trPr>
        <w:tc>
          <w:tcPr>
            <w:tcW w:w="9493" w:type="dxa"/>
            <w:gridSpan w:val="7"/>
          </w:tcPr>
          <w:p w14:paraId="321A0E88"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3.4 Impactul macroeconomic</w:t>
            </w:r>
          </w:p>
        </w:tc>
      </w:tr>
      <w:tr w:rsidR="00717027" w:rsidRPr="00E9358F" w14:paraId="23D91926" w14:textId="77777777" w:rsidTr="00605DDE">
        <w:trPr>
          <w:jc w:val="center"/>
        </w:trPr>
        <w:tc>
          <w:tcPr>
            <w:tcW w:w="9493" w:type="dxa"/>
            <w:gridSpan w:val="7"/>
          </w:tcPr>
          <w:p w14:paraId="6620B8D0"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3.4.1 Impactul asupra economiei și asupra principalilor indicatori macroeconomici</w:t>
            </w:r>
          </w:p>
          <w:p w14:paraId="105EE738" w14:textId="77777777" w:rsidR="00717027" w:rsidRPr="00E9358F" w:rsidRDefault="007211A2"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CB7B6C" w14:paraId="1589B621" w14:textId="77777777" w:rsidTr="00605DDE">
        <w:trPr>
          <w:jc w:val="center"/>
        </w:trPr>
        <w:tc>
          <w:tcPr>
            <w:tcW w:w="9493" w:type="dxa"/>
            <w:gridSpan w:val="7"/>
          </w:tcPr>
          <w:p w14:paraId="5AA69D6C"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3.4.2 Impactul asupra mediului concurențial si domeniul ajutoarelor de stat</w:t>
            </w:r>
          </w:p>
          <w:p w14:paraId="44F2112D" w14:textId="77777777" w:rsidR="00717027" w:rsidRPr="007211A2" w:rsidRDefault="00717027" w:rsidP="007211A2">
            <w:pPr>
              <w:spacing w:after="60"/>
              <w:jc w:val="both"/>
              <w:rPr>
                <w:rFonts w:ascii="Times New Roman" w:hAnsi="Times New Roman" w:cs="Times New Roman"/>
                <w:sz w:val="24"/>
                <w:szCs w:val="24"/>
                <w:lang w:val="ro-RO"/>
              </w:rPr>
            </w:pPr>
            <w:r w:rsidRPr="00E9358F">
              <w:rPr>
                <w:rFonts w:ascii="Times New Roman" w:hAnsi="Times New Roman" w:cs="Times New Roman"/>
                <w:sz w:val="24"/>
                <w:szCs w:val="24"/>
                <w:lang w:val="ro-RO"/>
              </w:rPr>
              <w:t>În temeiul dispozițiilor art. 346 din Tratatul de funcționare a Uniunii Europene (TFUE), orice stat membru poate lua măsurile pe care le consideră necesare pentru protecția intereselor esențiale ale siguranței sale și care se referă la producția sau comerțul cu armament, muniție sau material de război, cu condiția ca respectivele măsuri să nu distorsioneze concurența pe piața internă pentru produsele ce nu sunt destinate unor scopuri militare.</w:t>
            </w:r>
          </w:p>
        </w:tc>
      </w:tr>
      <w:tr w:rsidR="00717027" w:rsidRPr="00CB7B6C" w14:paraId="13909CC9" w14:textId="77777777" w:rsidTr="00605DDE">
        <w:trPr>
          <w:jc w:val="center"/>
        </w:trPr>
        <w:tc>
          <w:tcPr>
            <w:tcW w:w="9493" w:type="dxa"/>
            <w:gridSpan w:val="7"/>
          </w:tcPr>
          <w:p w14:paraId="5F1CCE1A"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3.5. Impactul asupra mediului de afaceri</w:t>
            </w:r>
          </w:p>
          <w:p w14:paraId="6F1BAB89"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Nu este cazul </w:t>
            </w:r>
          </w:p>
        </w:tc>
      </w:tr>
      <w:tr w:rsidR="00717027" w:rsidRPr="00CB7B6C" w14:paraId="3369D4C7" w14:textId="77777777" w:rsidTr="00605DDE">
        <w:trPr>
          <w:jc w:val="center"/>
        </w:trPr>
        <w:tc>
          <w:tcPr>
            <w:tcW w:w="9493" w:type="dxa"/>
            <w:gridSpan w:val="7"/>
          </w:tcPr>
          <w:p w14:paraId="2DDB81CB"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3.6 Impactul asupra mediului înconjurător</w:t>
            </w:r>
          </w:p>
          <w:p w14:paraId="590F1A1E"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E9358F" w14:paraId="2D5AD48A" w14:textId="77777777" w:rsidTr="00605DDE">
        <w:trPr>
          <w:jc w:val="center"/>
        </w:trPr>
        <w:tc>
          <w:tcPr>
            <w:tcW w:w="9493" w:type="dxa"/>
            <w:gridSpan w:val="7"/>
          </w:tcPr>
          <w:p w14:paraId="7E14B500"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3.7 Evaluarea costurilor și beneficiilor din perspectiva inovării și digitalizării</w:t>
            </w:r>
          </w:p>
          <w:p w14:paraId="7B70B19D" w14:textId="77777777" w:rsidR="00717027" w:rsidRPr="00E9358F" w:rsidRDefault="00717027" w:rsidP="00717027">
            <w:pPr>
              <w:jc w:val="both"/>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 xml:space="preserve">Nu este cazul </w:t>
            </w:r>
          </w:p>
        </w:tc>
      </w:tr>
      <w:tr w:rsidR="00717027" w:rsidRPr="00E9358F" w14:paraId="7481B37E" w14:textId="77777777" w:rsidTr="00605DDE">
        <w:trPr>
          <w:jc w:val="center"/>
        </w:trPr>
        <w:tc>
          <w:tcPr>
            <w:tcW w:w="9493" w:type="dxa"/>
            <w:gridSpan w:val="7"/>
            <w:tcBorders>
              <w:bottom w:val="single" w:sz="4" w:space="0" w:color="auto"/>
            </w:tcBorders>
          </w:tcPr>
          <w:p w14:paraId="10987965" w14:textId="77777777" w:rsidR="00717027" w:rsidRPr="00E9358F" w:rsidRDefault="00717027" w:rsidP="00717027">
            <w:pPr>
              <w:jc w:val="both"/>
              <w:rPr>
                <w:rFonts w:ascii="Times New Roman" w:eastAsiaTheme="majorEastAsia" w:hAnsi="Times New Roman" w:cs="Times New Roman"/>
                <w:sz w:val="24"/>
                <w:szCs w:val="24"/>
                <w:shd w:val="clear" w:color="auto" w:fill="FFFFFF" w:themeFill="background1"/>
                <w:lang w:val="ro-RO" w:eastAsia="en-US"/>
              </w:rPr>
            </w:pPr>
            <w:r w:rsidRPr="00E9358F">
              <w:rPr>
                <w:rFonts w:ascii="Times New Roman" w:eastAsiaTheme="majorEastAsia" w:hAnsi="Times New Roman" w:cs="Times New Roman"/>
                <w:sz w:val="24"/>
                <w:szCs w:val="24"/>
                <w:shd w:val="clear" w:color="auto" w:fill="FFFFFF" w:themeFill="background1"/>
                <w:lang w:val="ro-RO" w:eastAsia="en-US"/>
              </w:rPr>
              <w:t>3.8 Evaluarea costurilor și beneficiilor din perspectiva dezvoltării durabile</w:t>
            </w:r>
          </w:p>
          <w:p w14:paraId="4475C134" w14:textId="77777777" w:rsidR="00717027" w:rsidRPr="00E9358F" w:rsidRDefault="00717027" w:rsidP="00717027">
            <w:pPr>
              <w:jc w:val="both"/>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shd w:val="clear" w:color="auto" w:fill="FFFFFF" w:themeFill="background1"/>
                <w:lang w:val="ro-RO" w:eastAsia="en-US"/>
              </w:rPr>
              <w:t>Nu este cazul</w:t>
            </w:r>
          </w:p>
        </w:tc>
      </w:tr>
      <w:tr w:rsidR="00717027" w:rsidRPr="00CB7B6C" w14:paraId="7A8D95B9" w14:textId="77777777" w:rsidTr="00605DDE">
        <w:trPr>
          <w:jc w:val="center"/>
        </w:trPr>
        <w:tc>
          <w:tcPr>
            <w:tcW w:w="9493" w:type="dxa"/>
            <w:gridSpan w:val="7"/>
            <w:tcBorders>
              <w:bottom w:val="single" w:sz="4" w:space="0" w:color="auto"/>
            </w:tcBorders>
          </w:tcPr>
          <w:p w14:paraId="2ECFCD2E"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3.9 Alte informații</w:t>
            </w:r>
          </w:p>
          <w:p w14:paraId="74FF2078" w14:textId="77777777" w:rsidR="00717027" w:rsidRPr="00E9358F" w:rsidRDefault="00717027" w:rsidP="00717027">
            <w:pPr>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bCs/>
                <w:sz w:val="24"/>
                <w:szCs w:val="24"/>
                <w:lang w:val="ro-RO" w:eastAsia="en-US"/>
              </w:rPr>
              <w:t>Nu este cazul</w:t>
            </w:r>
          </w:p>
        </w:tc>
      </w:tr>
      <w:tr w:rsidR="00717027" w:rsidRPr="00CB7B6C" w14:paraId="031A79CE" w14:textId="77777777" w:rsidTr="00605DDE">
        <w:trPr>
          <w:jc w:val="center"/>
        </w:trPr>
        <w:tc>
          <w:tcPr>
            <w:tcW w:w="9493" w:type="dxa"/>
            <w:gridSpan w:val="7"/>
            <w:tcBorders>
              <w:bottom w:val="single" w:sz="4" w:space="0" w:color="auto"/>
            </w:tcBorders>
          </w:tcPr>
          <w:p w14:paraId="24B5DD69" w14:textId="77777777" w:rsidR="00717027" w:rsidRPr="00E9358F" w:rsidRDefault="00717027" w:rsidP="00717027">
            <w:pPr>
              <w:tabs>
                <w:tab w:val="left" w:pos="567"/>
              </w:tabs>
              <w:jc w:val="center"/>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b/>
                <w:bCs/>
                <w:sz w:val="24"/>
                <w:szCs w:val="24"/>
                <w:lang w:val="ro-RO" w:eastAsia="en-US"/>
              </w:rPr>
              <w:t>Secțiunea a 4-a</w:t>
            </w:r>
          </w:p>
          <w:p w14:paraId="6FFBBAB7" w14:textId="77777777" w:rsidR="00717027" w:rsidRDefault="00717027" w:rsidP="007418D0">
            <w:pPr>
              <w:jc w:val="center"/>
              <w:rPr>
                <w:rFonts w:ascii="Times New Roman" w:hAnsi="Times New Roman" w:cs="Times New Roman"/>
                <w:b/>
                <w:bCs/>
                <w:sz w:val="24"/>
                <w:szCs w:val="24"/>
                <w:lang w:val="ro-RO"/>
              </w:rPr>
            </w:pPr>
            <w:r w:rsidRPr="00E9358F">
              <w:rPr>
                <w:rFonts w:ascii="Times New Roman" w:hAnsi="Times New Roman" w:cs="Times New Roman"/>
                <w:b/>
                <w:bCs/>
                <w:sz w:val="24"/>
                <w:szCs w:val="24"/>
                <w:lang w:val="ro-RO"/>
              </w:rPr>
              <w:t>Impactul financiar asupra bugetului general consolidat atât pe termen scurt, pentru anul curent, cât şi pe termen lung (pe 5 ani), inclusiv informații cu privire la cheltuieli și venituri.***)</w:t>
            </w:r>
          </w:p>
          <w:p w14:paraId="2736F9D0" w14:textId="77777777" w:rsidR="007418D0" w:rsidRPr="007418D0" w:rsidRDefault="007418D0" w:rsidP="007418D0">
            <w:pPr>
              <w:jc w:val="center"/>
              <w:rPr>
                <w:rFonts w:ascii="Times New Roman" w:hAnsi="Times New Roman" w:cs="Times New Roman"/>
                <w:b/>
                <w:bCs/>
                <w:sz w:val="24"/>
                <w:szCs w:val="24"/>
                <w:lang w:val="ro-RO"/>
              </w:rPr>
            </w:pPr>
          </w:p>
        </w:tc>
      </w:tr>
      <w:tr w:rsidR="00717027" w:rsidRPr="00E9358F" w14:paraId="35A2639F" w14:textId="77777777" w:rsidTr="00605DDE">
        <w:trPr>
          <w:jc w:val="center"/>
        </w:trPr>
        <w:tc>
          <w:tcPr>
            <w:tcW w:w="9493" w:type="dxa"/>
            <w:gridSpan w:val="7"/>
            <w:tcBorders>
              <w:bottom w:val="single" w:sz="4" w:space="0" w:color="auto"/>
            </w:tcBorders>
          </w:tcPr>
          <w:p w14:paraId="29BF9420" w14:textId="77777777" w:rsidR="00717027" w:rsidRPr="00E9358F" w:rsidRDefault="00717027" w:rsidP="00717027">
            <w:pPr>
              <w:tabs>
                <w:tab w:val="left" w:pos="567"/>
              </w:tabs>
              <w:jc w:val="right"/>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 în mii lei (RON) -</w:t>
            </w:r>
          </w:p>
        </w:tc>
      </w:tr>
      <w:tr w:rsidR="00717027" w:rsidRPr="00E9358F" w14:paraId="13C6DFC2" w14:textId="77777777" w:rsidTr="00605DDE">
        <w:trPr>
          <w:jc w:val="center"/>
        </w:trPr>
        <w:tc>
          <w:tcPr>
            <w:tcW w:w="3256" w:type="dxa"/>
            <w:tcBorders>
              <w:top w:val="single" w:sz="4" w:space="0" w:color="auto"/>
            </w:tcBorders>
          </w:tcPr>
          <w:p w14:paraId="31D4ACFE" w14:textId="77777777" w:rsidR="00717027" w:rsidRPr="00E9358F" w:rsidRDefault="00717027" w:rsidP="00717027">
            <w:pPr>
              <w:tabs>
                <w:tab w:val="left" w:pos="567"/>
              </w:tabs>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Indicatori</w:t>
            </w:r>
          </w:p>
        </w:tc>
        <w:tc>
          <w:tcPr>
            <w:tcW w:w="1419" w:type="dxa"/>
            <w:tcBorders>
              <w:top w:val="single" w:sz="4" w:space="0" w:color="auto"/>
            </w:tcBorders>
          </w:tcPr>
          <w:p w14:paraId="46FD6B22" w14:textId="77777777" w:rsidR="00717027" w:rsidRPr="00E9358F" w:rsidRDefault="00717027" w:rsidP="00717027">
            <w:pPr>
              <w:tabs>
                <w:tab w:val="left" w:pos="567"/>
              </w:tabs>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Anul curent</w:t>
            </w:r>
          </w:p>
        </w:tc>
        <w:tc>
          <w:tcPr>
            <w:tcW w:w="2338" w:type="dxa"/>
            <w:gridSpan w:val="4"/>
            <w:tcBorders>
              <w:top w:val="single" w:sz="4" w:space="0" w:color="auto"/>
            </w:tcBorders>
          </w:tcPr>
          <w:p w14:paraId="0303CF8C" w14:textId="77777777" w:rsidR="00717027" w:rsidRPr="00E9358F" w:rsidRDefault="00717027" w:rsidP="00717027">
            <w:pPr>
              <w:tabs>
                <w:tab w:val="left" w:pos="567"/>
              </w:tabs>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Următorii patru ani</w:t>
            </w:r>
          </w:p>
        </w:tc>
        <w:tc>
          <w:tcPr>
            <w:tcW w:w="2480" w:type="dxa"/>
            <w:tcBorders>
              <w:top w:val="single" w:sz="4" w:space="0" w:color="auto"/>
            </w:tcBorders>
          </w:tcPr>
          <w:p w14:paraId="443DD951" w14:textId="77777777" w:rsidR="00717027" w:rsidRPr="00E9358F" w:rsidRDefault="00717027" w:rsidP="00717027">
            <w:pPr>
              <w:tabs>
                <w:tab w:val="left" w:pos="567"/>
              </w:tabs>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Media pe cinci ani</w:t>
            </w:r>
          </w:p>
        </w:tc>
      </w:tr>
      <w:tr w:rsidR="00717027" w:rsidRPr="00E9358F" w14:paraId="1A405445" w14:textId="77777777" w:rsidTr="00605DDE">
        <w:trPr>
          <w:jc w:val="center"/>
        </w:trPr>
        <w:tc>
          <w:tcPr>
            <w:tcW w:w="3256" w:type="dxa"/>
          </w:tcPr>
          <w:p w14:paraId="4F82CC19" w14:textId="77777777" w:rsidR="00717027" w:rsidRPr="00E9358F" w:rsidRDefault="00717027" w:rsidP="00717027">
            <w:pPr>
              <w:tabs>
                <w:tab w:val="left" w:pos="567"/>
              </w:tabs>
              <w:jc w:val="cente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1</w:t>
            </w:r>
          </w:p>
        </w:tc>
        <w:tc>
          <w:tcPr>
            <w:tcW w:w="1419" w:type="dxa"/>
          </w:tcPr>
          <w:p w14:paraId="67DCC4E1" w14:textId="77777777" w:rsidR="00717027" w:rsidRPr="00E9358F" w:rsidRDefault="00717027" w:rsidP="00717027">
            <w:pPr>
              <w:tabs>
                <w:tab w:val="left" w:pos="567"/>
              </w:tabs>
              <w:jc w:val="cente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2</w:t>
            </w:r>
          </w:p>
        </w:tc>
        <w:tc>
          <w:tcPr>
            <w:tcW w:w="584" w:type="dxa"/>
          </w:tcPr>
          <w:p w14:paraId="1B79D7DD" w14:textId="77777777" w:rsidR="00717027" w:rsidRPr="00E9358F" w:rsidRDefault="00717027" w:rsidP="00717027">
            <w:pPr>
              <w:tabs>
                <w:tab w:val="left" w:pos="567"/>
              </w:tabs>
              <w:jc w:val="cente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3</w:t>
            </w:r>
          </w:p>
        </w:tc>
        <w:tc>
          <w:tcPr>
            <w:tcW w:w="585" w:type="dxa"/>
          </w:tcPr>
          <w:p w14:paraId="2C5AF0E2" w14:textId="77777777" w:rsidR="00717027" w:rsidRPr="00E9358F" w:rsidRDefault="00717027" w:rsidP="00717027">
            <w:pPr>
              <w:tabs>
                <w:tab w:val="left" w:pos="567"/>
              </w:tabs>
              <w:jc w:val="cente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4</w:t>
            </w:r>
          </w:p>
        </w:tc>
        <w:tc>
          <w:tcPr>
            <w:tcW w:w="584" w:type="dxa"/>
          </w:tcPr>
          <w:p w14:paraId="37D7DF66" w14:textId="77777777" w:rsidR="00717027" w:rsidRPr="00E9358F" w:rsidRDefault="00717027" w:rsidP="00717027">
            <w:pPr>
              <w:tabs>
                <w:tab w:val="left" w:pos="567"/>
              </w:tabs>
              <w:jc w:val="cente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5</w:t>
            </w:r>
          </w:p>
        </w:tc>
        <w:tc>
          <w:tcPr>
            <w:tcW w:w="585" w:type="dxa"/>
          </w:tcPr>
          <w:p w14:paraId="6FA228F7" w14:textId="77777777" w:rsidR="00717027" w:rsidRPr="00E9358F" w:rsidRDefault="00717027" w:rsidP="00717027">
            <w:pPr>
              <w:tabs>
                <w:tab w:val="left" w:pos="567"/>
              </w:tabs>
              <w:jc w:val="cente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6</w:t>
            </w:r>
          </w:p>
        </w:tc>
        <w:tc>
          <w:tcPr>
            <w:tcW w:w="2480" w:type="dxa"/>
          </w:tcPr>
          <w:p w14:paraId="3B0A6E90" w14:textId="77777777" w:rsidR="00717027" w:rsidRPr="00E9358F" w:rsidRDefault="00717027" w:rsidP="00717027">
            <w:pPr>
              <w:tabs>
                <w:tab w:val="left" w:pos="567"/>
              </w:tabs>
              <w:jc w:val="cente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7</w:t>
            </w:r>
          </w:p>
        </w:tc>
      </w:tr>
      <w:tr w:rsidR="00717027" w:rsidRPr="00E9358F" w14:paraId="22AE3BAF" w14:textId="77777777" w:rsidTr="00605DDE">
        <w:trPr>
          <w:jc w:val="center"/>
        </w:trPr>
        <w:tc>
          <w:tcPr>
            <w:tcW w:w="3256" w:type="dxa"/>
          </w:tcPr>
          <w:p w14:paraId="30ED9942"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4.1 Modificări ale veniturilor bugetare, plus/minus, din care:</w:t>
            </w:r>
          </w:p>
        </w:tc>
        <w:tc>
          <w:tcPr>
            <w:tcW w:w="1419" w:type="dxa"/>
            <w:tcBorders>
              <w:bottom w:val="single" w:sz="4" w:space="0" w:color="auto"/>
            </w:tcBorders>
          </w:tcPr>
          <w:p w14:paraId="261D49AD" w14:textId="71162D2F" w:rsidR="00717027" w:rsidRPr="00E9358F" w:rsidRDefault="00402B9B"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bottom w:val="single" w:sz="4" w:space="0" w:color="auto"/>
            </w:tcBorders>
          </w:tcPr>
          <w:p w14:paraId="4CA03D60" w14:textId="77777777" w:rsidR="00717027"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bottom w:val="single" w:sz="4" w:space="0" w:color="auto"/>
            </w:tcBorders>
          </w:tcPr>
          <w:p w14:paraId="3A5F6950" w14:textId="77777777" w:rsidR="00717027"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bottom w:val="single" w:sz="4" w:space="0" w:color="auto"/>
            </w:tcBorders>
          </w:tcPr>
          <w:p w14:paraId="7957E8F1" w14:textId="77777777" w:rsidR="00717027"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bottom w:val="single" w:sz="4" w:space="0" w:color="auto"/>
            </w:tcBorders>
          </w:tcPr>
          <w:p w14:paraId="3C905F4F" w14:textId="77777777" w:rsidR="00717027"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2480" w:type="dxa"/>
            <w:tcBorders>
              <w:bottom w:val="single" w:sz="4" w:space="0" w:color="auto"/>
            </w:tcBorders>
          </w:tcPr>
          <w:p w14:paraId="09A539FC" w14:textId="25A1409E" w:rsidR="00717027" w:rsidRPr="00E9358F" w:rsidRDefault="00402B9B"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r>
      <w:tr w:rsidR="00812F94" w:rsidRPr="00E9358F" w14:paraId="220881A8" w14:textId="77777777" w:rsidTr="00605DDE">
        <w:trPr>
          <w:trHeight w:val="460"/>
          <w:jc w:val="center"/>
        </w:trPr>
        <w:tc>
          <w:tcPr>
            <w:tcW w:w="3256" w:type="dxa"/>
            <w:vMerge w:val="restart"/>
          </w:tcPr>
          <w:p w14:paraId="113478D3" w14:textId="77777777" w:rsidR="00812F94" w:rsidRPr="00E9358F" w:rsidRDefault="00812F94"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a) buget de stat, din acesta:</w:t>
            </w:r>
          </w:p>
          <w:p w14:paraId="250BFEBC" w14:textId="77777777" w:rsidR="00812F94" w:rsidRDefault="00812F94" w:rsidP="007418D0">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i. impozit pe profit</w:t>
            </w:r>
          </w:p>
          <w:p w14:paraId="58384218" w14:textId="77777777" w:rsidR="00812F94" w:rsidRDefault="00812F94" w:rsidP="007418D0">
            <w:pPr>
              <w:tabs>
                <w:tab w:val="left" w:pos="567"/>
              </w:tabs>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ii. contribuția asiguratorie de muncă</w:t>
            </w:r>
          </w:p>
          <w:p w14:paraId="014C7DB8" w14:textId="77777777" w:rsidR="00812F94" w:rsidRPr="00E9358F" w:rsidRDefault="00812F94" w:rsidP="007418D0">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ii</w:t>
            </w:r>
            <w:r>
              <w:rPr>
                <w:rFonts w:ascii="Times New Roman" w:eastAsiaTheme="majorEastAsia" w:hAnsi="Times New Roman" w:cs="Times New Roman"/>
                <w:sz w:val="24"/>
                <w:szCs w:val="24"/>
                <w:lang w:val="ro-RO" w:eastAsia="en-US"/>
              </w:rPr>
              <w:t>i</w:t>
            </w:r>
            <w:r w:rsidRPr="00E9358F">
              <w:rPr>
                <w:rFonts w:ascii="Times New Roman" w:eastAsiaTheme="majorEastAsia" w:hAnsi="Times New Roman" w:cs="Times New Roman"/>
                <w:sz w:val="24"/>
                <w:szCs w:val="24"/>
                <w:lang w:val="ro-RO" w:eastAsia="en-US"/>
              </w:rPr>
              <w:t>. impozit pe venit</w:t>
            </w:r>
          </w:p>
        </w:tc>
        <w:tc>
          <w:tcPr>
            <w:tcW w:w="1419" w:type="dxa"/>
            <w:tcBorders>
              <w:bottom w:val="nil"/>
            </w:tcBorders>
          </w:tcPr>
          <w:p w14:paraId="6E7FBE01" w14:textId="36C27490" w:rsidR="00812F94" w:rsidRPr="00E9358F" w:rsidRDefault="00402B9B" w:rsidP="00812F94">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bottom w:val="nil"/>
            </w:tcBorders>
          </w:tcPr>
          <w:p w14:paraId="35A9151D"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bottom w:val="nil"/>
            </w:tcBorders>
          </w:tcPr>
          <w:p w14:paraId="329BDC5E"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bottom w:val="nil"/>
            </w:tcBorders>
          </w:tcPr>
          <w:p w14:paraId="2061CC08"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bottom w:val="nil"/>
            </w:tcBorders>
          </w:tcPr>
          <w:p w14:paraId="62DD0620"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2480" w:type="dxa"/>
            <w:tcBorders>
              <w:bottom w:val="nil"/>
            </w:tcBorders>
          </w:tcPr>
          <w:p w14:paraId="5440F4CE" w14:textId="2CFA76B0" w:rsidR="00812F94" w:rsidRDefault="00402B9B"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p w14:paraId="5AFC745A" w14:textId="77777777" w:rsidR="002473C9"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p>
        </w:tc>
      </w:tr>
      <w:tr w:rsidR="00812F94" w:rsidRPr="00E9358F" w14:paraId="37DDB361" w14:textId="77777777" w:rsidTr="00605DDE">
        <w:trPr>
          <w:trHeight w:val="460"/>
          <w:jc w:val="center"/>
        </w:trPr>
        <w:tc>
          <w:tcPr>
            <w:tcW w:w="3256" w:type="dxa"/>
            <w:vMerge/>
          </w:tcPr>
          <w:p w14:paraId="3B62BF28" w14:textId="77777777" w:rsidR="00812F94" w:rsidRPr="00E9358F" w:rsidRDefault="00812F94" w:rsidP="00717027">
            <w:pPr>
              <w:tabs>
                <w:tab w:val="left" w:pos="567"/>
              </w:tabs>
              <w:rPr>
                <w:rFonts w:ascii="Times New Roman" w:eastAsiaTheme="majorEastAsia" w:hAnsi="Times New Roman" w:cs="Times New Roman"/>
                <w:sz w:val="24"/>
                <w:szCs w:val="24"/>
                <w:lang w:val="ro-RO" w:eastAsia="en-US"/>
              </w:rPr>
            </w:pPr>
          </w:p>
        </w:tc>
        <w:tc>
          <w:tcPr>
            <w:tcW w:w="1419" w:type="dxa"/>
            <w:tcBorders>
              <w:top w:val="nil"/>
              <w:bottom w:val="nil"/>
            </w:tcBorders>
          </w:tcPr>
          <w:p w14:paraId="564C330D" w14:textId="0AEAA9E8" w:rsidR="00812F94" w:rsidRPr="00812F94" w:rsidRDefault="00402B9B" w:rsidP="00812F94">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c>
          <w:tcPr>
            <w:tcW w:w="584" w:type="dxa"/>
            <w:tcBorders>
              <w:top w:val="nil"/>
              <w:bottom w:val="nil"/>
            </w:tcBorders>
          </w:tcPr>
          <w:p w14:paraId="444F6B8A"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top w:val="nil"/>
              <w:bottom w:val="nil"/>
            </w:tcBorders>
          </w:tcPr>
          <w:p w14:paraId="35DD639A"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top w:val="nil"/>
              <w:bottom w:val="nil"/>
            </w:tcBorders>
          </w:tcPr>
          <w:p w14:paraId="0942D5F4"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top w:val="nil"/>
              <w:bottom w:val="nil"/>
            </w:tcBorders>
          </w:tcPr>
          <w:p w14:paraId="64169E4C"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2480" w:type="dxa"/>
            <w:tcBorders>
              <w:top w:val="nil"/>
              <w:bottom w:val="nil"/>
            </w:tcBorders>
          </w:tcPr>
          <w:p w14:paraId="52C3AD57" w14:textId="6D16272A" w:rsidR="00812F94" w:rsidRPr="002473C9" w:rsidRDefault="00402B9B" w:rsidP="002473C9">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r>
      <w:tr w:rsidR="00812F94" w:rsidRPr="00E9358F" w14:paraId="7537DA94" w14:textId="77777777" w:rsidTr="00605DDE">
        <w:trPr>
          <w:trHeight w:val="460"/>
          <w:jc w:val="center"/>
        </w:trPr>
        <w:tc>
          <w:tcPr>
            <w:tcW w:w="3256" w:type="dxa"/>
            <w:vMerge/>
          </w:tcPr>
          <w:p w14:paraId="4F3762BC" w14:textId="77777777" w:rsidR="00812F94" w:rsidRPr="00E9358F" w:rsidRDefault="00812F94" w:rsidP="00717027">
            <w:pPr>
              <w:tabs>
                <w:tab w:val="left" w:pos="567"/>
              </w:tabs>
              <w:rPr>
                <w:rFonts w:ascii="Times New Roman" w:eastAsiaTheme="majorEastAsia" w:hAnsi="Times New Roman" w:cs="Times New Roman"/>
                <w:sz w:val="24"/>
                <w:szCs w:val="24"/>
                <w:lang w:val="ro-RO" w:eastAsia="en-US"/>
              </w:rPr>
            </w:pPr>
          </w:p>
        </w:tc>
        <w:tc>
          <w:tcPr>
            <w:tcW w:w="1419" w:type="dxa"/>
            <w:tcBorders>
              <w:top w:val="nil"/>
            </w:tcBorders>
          </w:tcPr>
          <w:p w14:paraId="1AD39F9D" w14:textId="6913575F" w:rsidR="00812F94" w:rsidRPr="00812F94" w:rsidRDefault="00402B9B" w:rsidP="00812F94">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c>
          <w:tcPr>
            <w:tcW w:w="584" w:type="dxa"/>
            <w:tcBorders>
              <w:top w:val="nil"/>
            </w:tcBorders>
          </w:tcPr>
          <w:p w14:paraId="439F114B"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top w:val="nil"/>
            </w:tcBorders>
          </w:tcPr>
          <w:p w14:paraId="48673A1F"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top w:val="nil"/>
            </w:tcBorders>
          </w:tcPr>
          <w:p w14:paraId="3B2D82DD"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top w:val="nil"/>
            </w:tcBorders>
          </w:tcPr>
          <w:p w14:paraId="5C023CB0" w14:textId="77777777" w:rsidR="00812F94" w:rsidRPr="00E9358F" w:rsidRDefault="002473C9"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2480" w:type="dxa"/>
            <w:tcBorders>
              <w:top w:val="nil"/>
            </w:tcBorders>
          </w:tcPr>
          <w:p w14:paraId="5CDF150F" w14:textId="2A82B127" w:rsidR="00812F94" w:rsidRPr="002473C9" w:rsidRDefault="00402B9B" w:rsidP="002473C9">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r>
      <w:tr w:rsidR="00717027" w:rsidRPr="00CB7B6C" w14:paraId="58CFE8C9" w14:textId="77777777" w:rsidTr="00605DDE">
        <w:trPr>
          <w:jc w:val="center"/>
        </w:trPr>
        <w:tc>
          <w:tcPr>
            <w:tcW w:w="3256" w:type="dxa"/>
          </w:tcPr>
          <w:p w14:paraId="7AC962D0"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b) bugete locale</w:t>
            </w:r>
          </w:p>
          <w:p w14:paraId="1AE0B9E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i. impozit pe profit</w:t>
            </w:r>
          </w:p>
        </w:tc>
        <w:tc>
          <w:tcPr>
            <w:tcW w:w="1419" w:type="dxa"/>
            <w:tcBorders>
              <w:bottom w:val="single" w:sz="4" w:space="0" w:color="auto"/>
            </w:tcBorders>
          </w:tcPr>
          <w:p w14:paraId="3A499662"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Borders>
              <w:bottom w:val="single" w:sz="4" w:space="0" w:color="auto"/>
            </w:tcBorders>
          </w:tcPr>
          <w:p w14:paraId="341B0CE9"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Borders>
              <w:bottom w:val="single" w:sz="4" w:space="0" w:color="auto"/>
            </w:tcBorders>
          </w:tcPr>
          <w:p w14:paraId="0CCB2249"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Borders>
              <w:bottom w:val="single" w:sz="4" w:space="0" w:color="auto"/>
            </w:tcBorders>
          </w:tcPr>
          <w:p w14:paraId="67EF039D"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Borders>
              <w:bottom w:val="single" w:sz="4" w:space="0" w:color="auto"/>
            </w:tcBorders>
          </w:tcPr>
          <w:p w14:paraId="576A879C"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Borders>
              <w:bottom w:val="single" w:sz="4" w:space="0" w:color="auto"/>
            </w:tcBorders>
          </w:tcPr>
          <w:p w14:paraId="2CE142E4"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812F94" w:rsidRPr="00E9358F" w14:paraId="2F5F9BD5" w14:textId="77777777" w:rsidTr="00605DDE">
        <w:trPr>
          <w:trHeight w:val="413"/>
          <w:jc w:val="center"/>
        </w:trPr>
        <w:tc>
          <w:tcPr>
            <w:tcW w:w="3256" w:type="dxa"/>
            <w:vMerge w:val="restart"/>
          </w:tcPr>
          <w:p w14:paraId="3B225D8F" w14:textId="77777777" w:rsidR="00812F94" w:rsidRPr="00E9358F" w:rsidRDefault="00812F94"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c) bugetul asigurărilor sociale de stat:</w:t>
            </w:r>
          </w:p>
          <w:p w14:paraId="306BF810" w14:textId="77777777" w:rsidR="00812F94" w:rsidRPr="00E9358F" w:rsidRDefault="00812F94"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i. contribuții de asigurări</w:t>
            </w:r>
          </w:p>
        </w:tc>
        <w:tc>
          <w:tcPr>
            <w:tcW w:w="1419" w:type="dxa"/>
            <w:tcBorders>
              <w:bottom w:val="nil"/>
            </w:tcBorders>
          </w:tcPr>
          <w:p w14:paraId="391851BC" w14:textId="7CC5CEE5" w:rsidR="00812F94" w:rsidRPr="00E9358F" w:rsidRDefault="002A68D5"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bottom w:val="nil"/>
            </w:tcBorders>
          </w:tcPr>
          <w:p w14:paraId="75045D8E" w14:textId="77777777" w:rsidR="00812F94"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bottom w:val="nil"/>
            </w:tcBorders>
          </w:tcPr>
          <w:p w14:paraId="4385FCA2" w14:textId="77777777" w:rsidR="00812F94"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Borders>
              <w:bottom w:val="nil"/>
            </w:tcBorders>
          </w:tcPr>
          <w:p w14:paraId="0639A9FF" w14:textId="77777777" w:rsidR="00812F94"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Borders>
              <w:bottom w:val="nil"/>
            </w:tcBorders>
          </w:tcPr>
          <w:p w14:paraId="6D3B58A0" w14:textId="77777777" w:rsidR="00812F94" w:rsidRPr="00E9358F" w:rsidRDefault="002473C9"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2480" w:type="dxa"/>
            <w:tcBorders>
              <w:bottom w:val="nil"/>
            </w:tcBorders>
          </w:tcPr>
          <w:p w14:paraId="18C3ECC9" w14:textId="357D4B01" w:rsidR="00812F94" w:rsidRPr="00E9358F" w:rsidRDefault="002A68D5" w:rsidP="002473C9">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r>
      <w:tr w:rsidR="00812F94" w:rsidRPr="00E9358F" w14:paraId="6071D2D3" w14:textId="77777777" w:rsidTr="00605DDE">
        <w:trPr>
          <w:trHeight w:val="412"/>
          <w:jc w:val="center"/>
        </w:trPr>
        <w:tc>
          <w:tcPr>
            <w:tcW w:w="3256" w:type="dxa"/>
            <w:vMerge/>
          </w:tcPr>
          <w:p w14:paraId="01EA18CB" w14:textId="77777777" w:rsidR="00812F94" w:rsidRPr="00E9358F" w:rsidRDefault="00812F94" w:rsidP="00717027">
            <w:pPr>
              <w:tabs>
                <w:tab w:val="left" w:pos="567"/>
              </w:tabs>
              <w:rPr>
                <w:rFonts w:ascii="Times New Roman" w:eastAsiaTheme="majorEastAsia" w:hAnsi="Times New Roman" w:cs="Times New Roman"/>
                <w:sz w:val="24"/>
                <w:szCs w:val="24"/>
                <w:lang w:val="ro-RO" w:eastAsia="en-US"/>
              </w:rPr>
            </w:pPr>
          </w:p>
        </w:tc>
        <w:tc>
          <w:tcPr>
            <w:tcW w:w="1419" w:type="dxa"/>
            <w:tcBorders>
              <w:top w:val="nil"/>
            </w:tcBorders>
          </w:tcPr>
          <w:p w14:paraId="0CC5D221" w14:textId="52AED280" w:rsidR="00812F94" w:rsidRPr="002473C9" w:rsidRDefault="002A68D5" w:rsidP="002473C9">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c>
          <w:tcPr>
            <w:tcW w:w="584" w:type="dxa"/>
            <w:tcBorders>
              <w:top w:val="nil"/>
            </w:tcBorders>
          </w:tcPr>
          <w:p w14:paraId="1C1B002E" w14:textId="77777777" w:rsidR="00812F94" w:rsidRPr="002473C9" w:rsidRDefault="00812F94" w:rsidP="002473C9">
            <w:pPr>
              <w:tabs>
                <w:tab w:val="left" w:pos="567"/>
              </w:tabs>
              <w:jc w:val="center"/>
              <w:rPr>
                <w:rFonts w:ascii="Times New Roman" w:eastAsiaTheme="majorEastAsia" w:hAnsi="Times New Roman" w:cs="Times New Roman"/>
                <w:sz w:val="24"/>
                <w:szCs w:val="24"/>
                <w:lang w:val="ro-RO" w:eastAsia="en-US"/>
              </w:rPr>
            </w:pPr>
          </w:p>
        </w:tc>
        <w:tc>
          <w:tcPr>
            <w:tcW w:w="585" w:type="dxa"/>
            <w:tcBorders>
              <w:top w:val="nil"/>
            </w:tcBorders>
          </w:tcPr>
          <w:p w14:paraId="52E2940E" w14:textId="77777777" w:rsidR="00812F94" w:rsidRPr="002473C9" w:rsidRDefault="00812F94" w:rsidP="002473C9">
            <w:pPr>
              <w:tabs>
                <w:tab w:val="left" w:pos="567"/>
              </w:tabs>
              <w:jc w:val="center"/>
              <w:rPr>
                <w:rFonts w:ascii="Times New Roman" w:eastAsiaTheme="majorEastAsia" w:hAnsi="Times New Roman" w:cs="Times New Roman"/>
                <w:sz w:val="24"/>
                <w:szCs w:val="24"/>
                <w:lang w:val="ro-RO" w:eastAsia="en-US"/>
              </w:rPr>
            </w:pPr>
          </w:p>
        </w:tc>
        <w:tc>
          <w:tcPr>
            <w:tcW w:w="584" w:type="dxa"/>
            <w:tcBorders>
              <w:top w:val="nil"/>
            </w:tcBorders>
          </w:tcPr>
          <w:p w14:paraId="5956C63F" w14:textId="77777777" w:rsidR="00812F94" w:rsidRPr="002473C9" w:rsidRDefault="00812F94" w:rsidP="002473C9">
            <w:pPr>
              <w:tabs>
                <w:tab w:val="left" w:pos="567"/>
              </w:tabs>
              <w:jc w:val="center"/>
              <w:rPr>
                <w:rFonts w:ascii="Times New Roman" w:eastAsiaTheme="majorEastAsia" w:hAnsi="Times New Roman" w:cs="Times New Roman"/>
                <w:sz w:val="24"/>
                <w:szCs w:val="24"/>
                <w:lang w:val="ro-RO" w:eastAsia="en-US"/>
              </w:rPr>
            </w:pPr>
          </w:p>
        </w:tc>
        <w:tc>
          <w:tcPr>
            <w:tcW w:w="585" w:type="dxa"/>
            <w:tcBorders>
              <w:top w:val="nil"/>
            </w:tcBorders>
          </w:tcPr>
          <w:p w14:paraId="71004948" w14:textId="77777777" w:rsidR="00812F94" w:rsidRPr="002473C9" w:rsidRDefault="00812F94" w:rsidP="002473C9">
            <w:pPr>
              <w:tabs>
                <w:tab w:val="left" w:pos="567"/>
              </w:tabs>
              <w:jc w:val="center"/>
              <w:rPr>
                <w:rFonts w:ascii="Times New Roman" w:eastAsiaTheme="majorEastAsia" w:hAnsi="Times New Roman" w:cs="Times New Roman"/>
                <w:sz w:val="24"/>
                <w:szCs w:val="24"/>
                <w:lang w:val="ro-RO" w:eastAsia="en-US"/>
              </w:rPr>
            </w:pPr>
          </w:p>
        </w:tc>
        <w:tc>
          <w:tcPr>
            <w:tcW w:w="2480" w:type="dxa"/>
            <w:tcBorders>
              <w:top w:val="nil"/>
            </w:tcBorders>
          </w:tcPr>
          <w:p w14:paraId="33084CAA" w14:textId="6205BC18" w:rsidR="00812F94" w:rsidRPr="002473C9" w:rsidRDefault="002A68D5" w:rsidP="002473C9">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r>
      <w:tr w:rsidR="00717027" w:rsidRPr="00CB7B6C" w14:paraId="14D3FED9" w14:textId="77777777" w:rsidTr="00605DDE">
        <w:trPr>
          <w:jc w:val="center"/>
        </w:trPr>
        <w:tc>
          <w:tcPr>
            <w:tcW w:w="3256" w:type="dxa"/>
          </w:tcPr>
          <w:p w14:paraId="09B1C3EB"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d) alte tipuri de venituri </w:t>
            </w:r>
          </w:p>
          <w:p w14:paraId="03B5CAF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(se va menționa natura acestora)</w:t>
            </w:r>
          </w:p>
        </w:tc>
        <w:tc>
          <w:tcPr>
            <w:tcW w:w="1419" w:type="dxa"/>
          </w:tcPr>
          <w:p w14:paraId="703923B9"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5B1C6BEA"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6C64C5A6"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70FF62B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107C1387"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0305E94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E9358F" w14:paraId="20C2E703" w14:textId="77777777" w:rsidTr="00605DDE">
        <w:trPr>
          <w:jc w:val="center"/>
        </w:trPr>
        <w:tc>
          <w:tcPr>
            <w:tcW w:w="3256" w:type="dxa"/>
          </w:tcPr>
          <w:p w14:paraId="23E49670" w14:textId="77777777" w:rsidR="00F36A35" w:rsidRPr="000017F3"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4.2 Modificări ale cheltuielilor bugetare, plus/minus, din care:</w:t>
            </w:r>
          </w:p>
        </w:tc>
        <w:tc>
          <w:tcPr>
            <w:tcW w:w="1419" w:type="dxa"/>
          </w:tcPr>
          <w:p w14:paraId="136C1BBC" w14:textId="59680DB2" w:rsidR="00717027" w:rsidRPr="00E9358F" w:rsidRDefault="002A68D5" w:rsidP="000017F3">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Pr>
          <w:p w14:paraId="3570B4FE" w14:textId="77777777" w:rsidR="00717027" w:rsidRPr="00E9358F" w:rsidRDefault="00F36A35"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Pr>
          <w:p w14:paraId="3FDC48DE" w14:textId="77777777" w:rsidR="00717027" w:rsidRPr="00E9358F" w:rsidRDefault="00F36A35"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tcPr>
          <w:p w14:paraId="00E44944" w14:textId="77777777" w:rsidR="00717027" w:rsidRPr="00E9358F" w:rsidRDefault="00F36A35"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tcPr>
          <w:p w14:paraId="50DB564C" w14:textId="77777777" w:rsidR="00717027" w:rsidRPr="00E9358F" w:rsidRDefault="00F36A35"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2480" w:type="dxa"/>
          </w:tcPr>
          <w:p w14:paraId="098A7BFA" w14:textId="0E54A1E9" w:rsidR="00717027" w:rsidRPr="00E9358F" w:rsidRDefault="002A68D5"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r>
      <w:tr w:rsidR="00717027" w:rsidRPr="00E9358F" w14:paraId="26470681" w14:textId="77777777" w:rsidTr="00605DDE">
        <w:trPr>
          <w:jc w:val="center"/>
        </w:trPr>
        <w:tc>
          <w:tcPr>
            <w:tcW w:w="3256" w:type="dxa"/>
          </w:tcPr>
          <w:p w14:paraId="7025129D"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a) buget de stat, din acesta:</w:t>
            </w:r>
          </w:p>
          <w:p w14:paraId="5947F789" w14:textId="77777777" w:rsidR="00717027" w:rsidRPr="00E9358F" w:rsidRDefault="00717027" w:rsidP="00717027">
            <w:pPr>
              <w:numPr>
                <w:ilvl w:val="0"/>
                <w:numId w:val="5"/>
              </w:num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lastRenderedPageBreak/>
              <w:t>cheltuieli de personal</w:t>
            </w:r>
          </w:p>
          <w:p w14:paraId="38F02F31"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bunuri și servicii</w:t>
            </w:r>
          </w:p>
        </w:tc>
        <w:tc>
          <w:tcPr>
            <w:tcW w:w="1419" w:type="dxa"/>
          </w:tcPr>
          <w:p w14:paraId="714F3E45"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0814C43F"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1FB95D03"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2531F171"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08083C1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3EF709FD"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E9358F" w14:paraId="570FB367" w14:textId="77777777" w:rsidTr="00605DDE">
        <w:trPr>
          <w:jc w:val="center"/>
        </w:trPr>
        <w:tc>
          <w:tcPr>
            <w:tcW w:w="3256" w:type="dxa"/>
          </w:tcPr>
          <w:p w14:paraId="0DD1434E"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b) bugete locale:</w:t>
            </w:r>
          </w:p>
          <w:p w14:paraId="300FC2E8" w14:textId="77777777" w:rsidR="00717027" w:rsidRPr="00E9358F" w:rsidRDefault="00717027" w:rsidP="00717027">
            <w:pPr>
              <w:numPr>
                <w:ilvl w:val="0"/>
                <w:numId w:val="21"/>
              </w:num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cheltuieli de personal</w:t>
            </w:r>
          </w:p>
          <w:p w14:paraId="67B50144" w14:textId="77777777" w:rsidR="00717027" w:rsidRPr="00F36A35" w:rsidRDefault="00717027" w:rsidP="00717027">
            <w:pPr>
              <w:numPr>
                <w:ilvl w:val="0"/>
                <w:numId w:val="21"/>
              </w:num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bunuri și servicii</w:t>
            </w:r>
          </w:p>
        </w:tc>
        <w:tc>
          <w:tcPr>
            <w:tcW w:w="1419" w:type="dxa"/>
          </w:tcPr>
          <w:p w14:paraId="25FE7661"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2E103790"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3F305E5D"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3DA0E177"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5FF6573D"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087DA42B"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E9358F" w14:paraId="216284A0" w14:textId="77777777" w:rsidTr="00605DDE">
        <w:trPr>
          <w:jc w:val="center"/>
        </w:trPr>
        <w:tc>
          <w:tcPr>
            <w:tcW w:w="3256" w:type="dxa"/>
          </w:tcPr>
          <w:p w14:paraId="10624F96"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c) bugetul asigurărilor sociale de stat:</w:t>
            </w:r>
          </w:p>
          <w:p w14:paraId="2693E6D0" w14:textId="77777777" w:rsidR="00717027" w:rsidRPr="00E9358F" w:rsidRDefault="00717027" w:rsidP="00717027">
            <w:pPr>
              <w:numPr>
                <w:ilvl w:val="0"/>
                <w:numId w:val="20"/>
              </w:num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cheltuieli de personal</w:t>
            </w:r>
          </w:p>
          <w:p w14:paraId="130A91A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bunuri și servicii</w:t>
            </w:r>
          </w:p>
        </w:tc>
        <w:tc>
          <w:tcPr>
            <w:tcW w:w="1419" w:type="dxa"/>
          </w:tcPr>
          <w:p w14:paraId="17838B11"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2C7AD043"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7E945FF2"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1D31BD4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18380C84"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3944D9C1"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E9358F" w14:paraId="7CE4D824" w14:textId="77777777" w:rsidTr="00605DDE">
        <w:trPr>
          <w:jc w:val="center"/>
        </w:trPr>
        <w:tc>
          <w:tcPr>
            <w:tcW w:w="3256" w:type="dxa"/>
          </w:tcPr>
          <w:p w14:paraId="5B86BADA"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d) alte tipuri de cheltuieli</w:t>
            </w:r>
          </w:p>
          <w:p w14:paraId="5ABB1708"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w:t>
            </w:r>
            <w:r w:rsidR="007418D0">
              <w:rPr>
                <w:rFonts w:ascii="Times New Roman" w:eastAsiaTheme="majorEastAsia" w:hAnsi="Times New Roman" w:cs="Times New Roman"/>
                <w:sz w:val="24"/>
                <w:szCs w:val="24"/>
                <w:lang w:val="ro-RO" w:eastAsia="en-US"/>
              </w:rPr>
              <w:t>transferuri pentru restructurarea industriei de apărare</w:t>
            </w:r>
            <w:r w:rsidRPr="00E9358F">
              <w:rPr>
                <w:rFonts w:ascii="Times New Roman" w:eastAsiaTheme="majorEastAsia" w:hAnsi="Times New Roman" w:cs="Times New Roman"/>
                <w:sz w:val="24"/>
                <w:szCs w:val="24"/>
                <w:lang w:val="ro-RO" w:eastAsia="en-US"/>
              </w:rPr>
              <w:t>)</w:t>
            </w:r>
          </w:p>
        </w:tc>
        <w:tc>
          <w:tcPr>
            <w:tcW w:w="1419" w:type="dxa"/>
            <w:tcBorders>
              <w:bottom w:val="single" w:sz="4" w:space="0" w:color="auto"/>
            </w:tcBorders>
          </w:tcPr>
          <w:p w14:paraId="566F85F1" w14:textId="651EBD15" w:rsidR="00717027" w:rsidRPr="00F36A35" w:rsidRDefault="002A68D5" w:rsidP="00F36A35">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c>
          <w:tcPr>
            <w:tcW w:w="584" w:type="dxa"/>
          </w:tcPr>
          <w:p w14:paraId="0F7247F2" w14:textId="77777777" w:rsidR="00717027" w:rsidRPr="00F36A35" w:rsidRDefault="00717027" w:rsidP="00F36A35">
            <w:pPr>
              <w:tabs>
                <w:tab w:val="left" w:pos="567"/>
              </w:tabs>
              <w:jc w:val="center"/>
              <w:rPr>
                <w:rFonts w:ascii="Times New Roman" w:eastAsiaTheme="majorEastAsia" w:hAnsi="Times New Roman" w:cs="Times New Roman"/>
                <w:sz w:val="24"/>
                <w:szCs w:val="24"/>
                <w:lang w:val="ro-RO" w:eastAsia="en-US"/>
              </w:rPr>
            </w:pPr>
          </w:p>
        </w:tc>
        <w:tc>
          <w:tcPr>
            <w:tcW w:w="585" w:type="dxa"/>
          </w:tcPr>
          <w:p w14:paraId="2E3EB6C7" w14:textId="77777777" w:rsidR="00717027" w:rsidRPr="00F36A35" w:rsidRDefault="00717027" w:rsidP="00F36A35">
            <w:pPr>
              <w:tabs>
                <w:tab w:val="left" w:pos="567"/>
              </w:tabs>
              <w:jc w:val="center"/>
              <w:rPr>
                <w:rFonts w:ascii="Times New Roman" w:eastAsiaTheme="majorEastAsia" w:hAnsi="Times New Roman" w:cs="Times New Roman"/>
                <w:sz w:val="24"/>
                <w:szCs w:val="24"/>
                <w:lang w:val="ro-RO" w:eastAsia="en-US"/>
              </w:rPr>
            </w:pPr>
          </w:p>
        </w:tc>
        <w:tc>
          <w:tcPr>
            <w:tcW w:w="584" w:type="dxa"/>
          </w:tcPr>
          <w:p w14:paraId="36F6BC0C" w14:textId="77777777" w:rsidR="00717027" w:rsidRPr="00F36A35" w:rsidRDefault="00717027" w:rsidP="00F36A35">
            <w:pPr>
              <w:tabs>
                <w:tab w:val="left" w:pos="567"/>
              </w:tabs>
              <w:jc w:val="center"/>
              <w:rPr>
                <w:rFonts w:ascii="Times New Roman" w:eastAsiaTheme="majorEastAsia" w:hAnsi="Times New Roman" w:cs="Times New Roman"/>
                <w:sz w:val="24"/>
                <w:szCs w:val="24"/>
                <w:lang w:val="ro-RO" w:eastAsia="en-US"/>
              </w:rPr>
            </w:pPr>
          </w:p>
        </w:tc>
        <w:tc>
          <w:tcPr>
            <w:tcW w:w="585" w:type="dxa"/>
          </w:tcPr>
          <w:p w14:paraId="3298E456" w14:textId="77777777" w:rsidR="00717027" w:rsidRPr="00F36A35" w:rsidRDefault="00717027" w:rsidP="00F36A35">
            <w:pPr>
              <w:tabs>
                <w:tab w:val="left" w:pos="567"/>
              </w:tabs>
              <w:jc w:val="center"/>
              <w:rPr>
                <w:rFonts w:ascii="Times New Roman" w:eastAsiaTheme="majorEastAsia" w:hAnsi="Times New Roman" w:cs="Times New Roman"/>
                <w:sz w:val="24"/>
                <w:szCs w:val="24"/>
                <w:lang w:val="ro-RO" w:eastAsia="en-US"/>
              </w:rPr>
            </w:pPr>
          </w:p>
        </w:tc>
        <w:tc>
          <w:tcPr>
            <w:tcW w:w="2480" w:type="dxa"/>
            <w:tcBorders>
              <w:bottom w:val="single" w:sz="4" w:space="0" w:color="auto"/>
            </w:tcBorders>
          </w:tcPr>
          <w:p w14:paraId="2E7C9820" w14:textId="6AB2E6E8" w:rsidR="00717027" w:rsidRPr="00F36A35" w:rsidRDefault="002A68D5" w:rsidP="00F36A35">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r>
      <w:tr w:rsidR="002473C9" w:rsidRPr="00E9358F" w14:paraId="7DE8D71A" w14:textId="77777777" w:rsidTr="00605DDE">
        <w:trPr>
          <w:trHeight w:val="413"/>
          <w:jc w:val="center"/>
        </w:trPr>
        <w:tc>
          <w:tcPr>
            <w:tcW w:w="3256" w:type="dxa"/>
            <w:vMerge w:val="restart"/>
          </w:tcPr>
          <w:p w14:paraId="7244D915" w14:textId="77777777" w:rsidR="002473C9" w:rsidRPr="00E9358F" w:rsidRDefault="002473C9"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4.3 Impact financiar, plus/minus, din care:</w:t>
            </w:r>
          </w:p>
          <w:p w14:paraId="5648EC25" w14:textId="77777777" w:rsidR="002473C9" w:rsidRPr="00E9358F" w:rsidRDefault="002473C9"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a)</w:t>
            </w:r>
            <w:r w:rsidRPr="00E9358F">
              <w:rPr>
                <w:rFonts w:ascii="Times New Roman" w:eastAsiaTheme="majorEastAsia" w:hAnsi="Times New Roman" w:cs="Times New Roman"/>
                <w:sz w:val="24"/>
                <w:szCs w:val="24"/>
                <w:vertAlign w:val="superscript"/>
                <w:lang w:val="ro-RO" w:eastAsia="en-US"/>
              </w:rPr>
              <w:t xml:space="preserve"> </w:t>
            </w:r>
            <w:r w:rsidRPr="00E9358F">
              <w:rPr>
                <w:rFonts w:ascii="Times New Roman" w:eastAsiaTheme="majorEastAsia" w:hAnsi="Times New Roman" w:cs="Times New Roman"/>
                <w:sz w:val="24"/>
                <w:szCs w:val="24"/>
                <w:lang w:val="ro-RO" w:eastAsia="en-US"/>
              </w:rPr>
              <w:t>buget de stat</w:t>
            </w:r>
          </w:p>
        </w:tc>
        <w:tc>
          <w:tcPr>
            <w:tcW w:w="1419" w:type="dxa"/>
            <w:tcBorders>
              <w:bottom w:val="nil"/>
            </w:tcBorders>
          </w:tcPr>
          <w:p w14:paraId="46982879" w14:textId="07350C74" w:rsidR="002473C9" w:rsidRPr="00F36A35" w:rsidRDefault="002A68D5"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vMerge w:val="restart"/>
          </w:tcPr>
          <w:p w14:paraId="56558C69" w14:textId="77777777" w:rsidR="002473C9" w:rsidRPr="00E9358F" w:rsidRDefault="004B54BD"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vMerge w:val="restart"/>
          </w:tcPr>
          <w:p w14:paraId="2AF88BE9" w14:textId="77777777" w:rsidR="002473C9" w:rsidRPr="00E9358F" w:rsidRDefault="004B54BD"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4" w:type="dxa"/>
            <w:vMerge w:val="restart"/>
          </w:tcPr>
          <w:p w14:paraId="1C1C3579" w14:textId="77777777" w:rsidR="002473C9" w:rsidRPr="00E9358F" w:rsidRDefault="004B54BD"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585" w:type="dxa"/>
            <w:vMerge w:val="restart"/>
          </w:tcPr>
          <w:p w14:paraId="013C35E8" w14:textId="77777777" w:rsidR="002473C9" w:rsidRPr="00E9358F" w:rsidRDefault="004B54BD"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c>
          <w:tcPr>
            <w:tcW w:w="2480" w:type="dxa"/>
            <w:tcBorders>
              <w:bottom w:val="nil"/>
            </w:tcBorders>
          </w:tcPr>
          <w:p w14:paraId="7DECBBAD" w14:textId="3541EE96" w:rsidR="002473C9" w:rsidRPr="00E9358F" w:rsidRDefault="002A68D5" w:rsidP="00F36A35">
            <w:pPr>
              <w:tabs>
                <w:tab w:val="left" w:pos="567"/>
              </w:tabs>
              <w:jc w:val="center"/>
              <w:rPr>
                <w:rFonts w:ascii="Times New Roman" w:eastAsiaTheme="majorEastAsia" w:hAnsi="Times New Roman" w:cs="Times New Roman"/>
                <w:b/>
                <w:bCs/>
                <w:sz w:val="24"/>
                <w:szCs w:val="24"/>
                <w:lang w:val="ro-RO" w:eastAsia="en-US"/>
              </w:rPr>
            </w:pPr>
            <w:r>
              <w:rPr>
                <w:rFonts w:ascii="Times New Roman" w:eastAsiaTheme="majorEastAsia" w:hAnsi="Times New Roman" w:cs="Times New Roman"/>
                <w:b/>
                <w:bCs/>
                <w:sz w:val="24"/>
                <w:szCs w:val="24"/>
                <w:lang w:val="ro-RO" w:eastAsia="en-US"/>
              </w:rPr>
              <w:t>-</w:t>
            </w:r>
          </w:p>
        </w:tc>
      </w:tr>
      <w:tr w:rsidR="002473C9" w:rsidRPr="00E9358F" w14:paraId="504C5554" w14:textId="77777777" w:rsidTr="00605DDE">
        <w:trPr>
          <w:trHeight w:val="412"/>
          <w:jc w:val="center"/>
        </w:trPr>
        <w:tc>
          <w:tcPr>
            <w:tcW w:w="3256" w:type="dxa"/>
            <w:vMerge/>
          </w:tcPr>
          <w:p w14:paraId="6891048B" w14:textId="77777777" w:rsidR="002473C9" w:rsidRPr="00E9358F" w:rsidRDefault="002473C9" w:rsidP="00717027">
            <w:pPr>
              <w:tabs>
                <w:tab w:val="left" w:pos="567"/>
              </w:tabs>
              <w:rPr>
                <w:rFonts w:ascii="Times New Roman" w:eastAsiaTheme="majorEastAsia" w:hAnsi="Times New Roman" w:cs="Times New Roman"/>
                <w:sz w:val="24"/>
                <w:szCs w:val="24"/>
                <w:lang w:val="ro-RO" w:eastAsia="en-US"/>
              </w:rPr>
            </w:pPr>
          </w:p>
        </w:tc>
        <w:tc>
          <w:tcPr>
            <w:tcW w:w="1419" w:type="dxa"/>
            <w:tcBorders>
              <w:top w:val="nil"/>
            </w:tcBorders>
          </w:tcPr>
          <w:p w14:paraId="1E682B54" w14:textId="41FB51EB" w:rsidR="002473C9" w:rsidRPr="00F36A35" w:rsidRDefault="002A68D5" w:rsidP="00F36A35">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c>
          <w:tcPr>
            <w:tcW w:w="584" w:type="dxa"/>
            <w:vMerge/>
          </w:tcPr>
          <w:p w14:paraId="1D52FF66" w14:textId="77777777" w:rsidR="002473C9" w:rsidRPr="00F36A35" w:rsidRDefault="002473C9" w:rsidP="00F36A35">
            <w:pPr>
              <w:tabs>
                <w:tab w:val="left" w:pos="567"/>
              </w:tabs>
              <w:jc w:val="center"/>
              <w:rPr>
                <w:rFonts w:ascii="Times New Roman" w:eastAsiaTheme="majorEastAsia" w:hAnsi="Times New Roman" w:cs="Times New Roman"/>
                <w:sz w:val="24"/>
                <w:szCs w:val="24"/>
                <w:lang w:val="ro-RO" w:eastAsia="en-US"/>
              </w:rPr>
            </w:pPr>
          </w:p>
        </w:tc>
        <w:tc>
          <w:tcPr>
            <w:tcW w:w="585" w:type="dxa"/>
            <w:vMerge/>
          </w:tcPr>
          <w:p w14:paraId="141CA348" w14:textId="77777777" w:rsidR="002473C9" w:rsidRPr="00F36A35" w:rsidRDefault="002473C9" w:rsidP="00F36A35">
            <w:pPr>
              <w:tabs>
                <w:tab w:val="left" w:pos="567"/>
              </w:tabs>
              <w:jc w:val="center"/>
              <w:rPr>
                <w:rFonts w:ascii="Times New Roman" w:eastAsiaTheme="majorEastAsia" w:hAnsi="Times New Roman" w:cs="Times New Roman"/>
                <w:sz w:val="24"/>
                <w:szCs w:val="24"/>
                <w:lang w:val="ro-RO" w:eastAsia="en-US"/>
              </w:rPr>
            </w:pPr>
          </w:p>
        </w:tc>
        <w:tc>
          <w:tcPr>
            <w:tcW w:w="584" w:type="dxa"/>
            <w:vMerge/>
          </w:tcPr>
          <w:p w14:paraId="29B0AF9D" w14:textId="77777777" w:rsidR="002473C9" w:rsidRPr="00F36A35" w:rsidRDefault="002473C9" w:rsidP="00F36A35">
            <w:pPr>
              <w:tabs>
                <w:tab w:val="left" w:pos="567"/>
              </w:tabs>
              <w:jc w:val="center"/>
              <w:rPr>
                <w:rFonts w:ascii="Times New Roman" w:eastAsiaTheme="majorEastAsia" w:hAnsi="Times New Roman" w:cs="Times New Roman"/>
                <w:sz w:val="24"/>
                <w:szCs w:val="24"/>
                <w:lang w:val="ro-RO" w:eastAsia="en-US"/>
              </w:rPr>
            </w:pPr>
          </w:p>
        </w:tc>
        <w:tc>
          <w:tcPr>
            <w:tcW w:w="585" w:type="dxa"/>
            <w:vMerge/>
          </w:tcPr>
          <w:p w14:paraId="7A4DE52F" w14:textId="77777777" w:rsidR="002473C9" w:rsidRPr="00F36A35" w:rsidRDefault="002473C9" w:rsidP="00F36A35">
            <w:pPr>
              <w:tabs>
                <w:tab w:val="left" w:pos="567"/>
              </w:tabs>
              <w:jc w:val="center"/>
              <w:rPr>
                <w:rFonts w:ascii="Times New Roman" w:eastAsiaTheme="majorEastAsia" w:hAnsi="Times New Roman" w:cs="Times New Roman"/>
                <w:sz w:val="24"/>
                <w:szCs w:val="24"/>
                <w:lang w:val="ro-RO" w:eastAsia="en-US"/>
              </w:rPr>
            </w:pPr>
          </w:p>
        </w:tc>
        <w:tc>
          <w:tcPr>
            <w:tcW w:w="2480" w:type="dxa"/>
            <w:tcBorders>
              <w:top w:val="nil"/>
            </w:tcBorders>
          </w:tcPr>
          <w:p w14:paraId="195E4366" w14:textId="647BC2F2" w:rsidR="002473C9" w:rsidRPr="00F36A35" w:rsidRDefault="002A68D5" w:rsidP="00F36A35">
            <w:pPr>
              <w:tabs>
                <w:tab w:val="left" w:pos="567"/>
              </w:tabs>
              <w:jc w:val="center"/>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w:t>
            </w:r>
          </w:p>
        </w:tc>
      </w:tr>
      <w:tr w:rsidR="004B54BD" w:rsidRPr="00E9358F" w14:paraId="1D07A9E6" w14:textId="77777777" w:rsidTr="00605DDE">
        <w:trPr>
          <w:trHeight w:val="412"/>
          <w:jc w:val="center"/>
        </w:trPr>
        <w:tc>
          <w:tcPr>
            <w:tcW w:w="3256" w:type="dxa"/>
          </w:tcPr>
          <w:p w14:paraId="1B7256FA" w14:textId="77777777" w:rsidR="004B54BD" w:rsidRPr="00E9358F" w:rsidRDefault="004B54BD" w:rsidP="004B54BD">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4.3 Impact financiar, plus/minus, din care:</w:t>
            </w:r>
          </w:p>
          <w:p w14:paraId="0C7F7809" w14:textId="77777777" w:rsidR="004B54BD" w:rsidRPr="00E9358F" w:rsidRDefault="004B54BD" w:rsidP="004B54BD">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a)</w:t>
            </w:r>
            <w:r w:rsidRPr="00E9358F">
              <w:rPr>
                <w:rFonts w:ascii="Times New Roman" w:eastAsiaTheme="majorEastAsia" w:hAnsi="Times New Roman" w:cs="Times New Roman"/>
                <w:sz w:val="24"/>
                <w:szCs w:val="24"/>
                <w:vertAlign w:val="superscript"/>
                <w:lang w:val="ro-RO" w:eastAsia="en-US"/>
              </w:rPr>
              <w:t xml:space="preserve"> </w:t>
            </w:r>
            <w:r w:rsidRPr="00E9358F">
              <w:rPr>
                <w:rFonts w:ascii="Times New Roman" w:eastAsiaTheme="majorEastAsia" w:hAnsi="Times New Roman" w:cs="Times New Roman"/>
                <w:sz w:val="24"/>
                <w:szCs w:val="24"/>
                <w:lang w:val="ro-RO" w:eastAsia="en-US"/>
              </w:rPr>
              <w:t>buget de stat</w:t>
            </w:r>
          </w:p>
        </w:tc>
        <w:tc>
          <w:tcPr>
            <w:tcW w:w="1419" w:type="dxa"/>
            <w:tcBorders>
              <w:top w:val="nil"/>
            </w:tcBorders>
          </w:tcPr>
          <w:p w14:paraId="112CA220" w14:textId="77777777" w:rsidR="004B54BD" w:rsidRPr="00F36A35" w:rsidRDefault="004B54BD" w:rsidP="00F36A35">
            <w:pPr>
              <w:tabs>
                <w:tab w:val="left" w:pos="567"/>
              </w:tabs>
              <w:jc w:val="center"/>
              <w:rPr>
                <w:rFonts w:ascii="Times New Roman" w:eastAsiaTheme="majorEastAsia" w:hAnsi="Times New Roman" w:cs="Times New Roman"/>
                <w:sz w:val="24"/>
                <w:szCs w:val="24"/>
                <w:lang w:val="ro-RO" w:eastAsia="en-US"/>
              </w:rPr>
            </w:pPr>
          </w:p>
        </w:tc>
        <w:tc>
          <w:tcPr>
            <w:tcW w:w="584" w:type="dxa"/>
          </w:tcPr>
          <w:p w14:paraId="78546995" w14:textId="77777777" w:rsidR="004B54BD" w:rsidRPr="00F36A35" w:rsidRDefault="004B54BD" w:rsidP="00F36A35">
            <w:pPr>
              <w:tabs>
                <w:tab w:val="left" w:pos="567"/>
              </w:tabs>
              <w:jc w:val="center"/>
              <w:rPr>
                <w:rFonts w:ascii="Times New Roman" w:eastAsiaTheme="majorEastAsia" w:hAnsi="Times New Roman" w:cs="Times New Roman"/>
                <w:sz w:val="24"/>
                <w:szCs w:val="24"/>
                <w:lang w:val="ro-RO" w:eastAsia="en-US"/>
              </w:rPr>
            </w:pPr>
          </w:p>
        </w:tc>
        <w:tc>
          <w:tcPr>
            <w:tcW w:w="585" w:type="dxa"/>
          </w:tcPr>
          <w:p w14:paraId="59636FAA" w14:textId="77777777" w:rsidR="004B54BD" w:rsidRPr="00F36A35" w:rsidRDefault="004B54BD" w:rsidP="00F36A35">
            <w:pPr>
              <w:tabs>
                <w:tab w:val="left" w:pos="567"/>
              </w:tabs>
              <w:jc w:val="center"/>
              <w:rPr>
                <w:rFonts w:ascii="Times New Roman" w:eastAsiaTheme="majorEastAsia" w:hAnsi="Times New Roman" w:cs="Times New Roman"/>
                <w:sz w:val="24"/>
                <w:szCs w:val="24"/>
                <w:lang w:val="ro-RO" w:eastAsia="en-US"/>
              </w:rPr>
            </w:pPr>
          </w:p>
        </w:tc>
        <w:tc>
          <w:tcPr>
            <w:tcW w:w="584" w:type="dxa"/>
          </w:tcPr>
          <w:p w14:paraId="56BFB462" w14:textId="77777777" w:rsidR="004B54BD" w:rsidRPr="00F36A35" w:rsidRDefault="004B54BD" w:rsidP="00F36A35">
            <w:pPr>
              <w:tabs>
                <w:tab w:val="left" w:pos="567"/>
              </w:tabs>
              <w:jc w:val="center"/>
              <w:rPr>
                <w:rFonts w:ascii="Times New Roman" w:eastAsiaTheme="majorEastAsia" w:hAnsi="Times New Roman" w:cs="Times New Roman"/>
                <w:sz w:val="24"/>
                <w:szCs w:val="24"/>
                <w:lang w:val="ro-RO" w:eastAsia="en-US"/>
              </w:rPr>
            </w:pPr>
          </w:p>
        </w:tc>
        <w:tc>
          <w:tcPr>
            <w:tcW w:w="585" w:type="dxa"/>
          </w:tcPr>
          <w:p w14:paraId="1377F576" w14:textId="77777777" w:rsidR="004B54BD" w:rsidRPr="00F36A35" w:rsidRDefault="004B54BD" w:rsidP="00F36A35">
            <w:pPr>
              <w:tabs>
                <w:tab w:val="left" w:pos="567"/>
              </w:tabs>
              <w:jc w:val="center"/>
              <w:rPr>
                <w:rFonts w:ascii="Times New Roman" w:eastAsiaTheme="majorEastAsia" w:hAnsi="Times New Roman" w:cs="Times New Roman"/>
                <w:sz w:val="24"/>
                <w:szCs w:val="24"/>
                <w:lang w:val="ro-RO" w:eastAsia="en-US"/>
              </w:rPr>
            </w:pPr>
          </w:p>
        </w:tc>
        <w:tc>
          <w:tcPr>
            <w:tcW w:w="2480" w:type="dxa"/>
            <w:tcBorders>
              <w:top w:val="nil"/>
            </w:tcBorders>
          </w:tcPr>
          <w:p w14:paraId="7C106BE2" w14:textId="77777777" w:rsidR="004B54BD" w:rsidRPr="00F36A35" w:rsidRDefault="004B54BD" w:rsidP="00F36A35">
            <w:pPr>
              <w:tabs>
                <w:tab w:val="left" w:pos="567"/>
              </w:tabs>
              <w:jc w:val="center"/>
              <w:rPr>
                <w:rFonts w:ascii="Times New Roman" w:eastAsiaTheme="majorEastAsia" w:hAnsi="Times New Roman" w:cs="Times New Roman"/>
                <w:sz w:val="24"/>
                <w:szCs w:val="24"/>
                <w:lang w:val="ro-RO" w:eastAsia="en-US"/>
              </w:rPr>
            </w:pPr>
          </w:p>
        </w:tc>
      </w:tr>
      <w:tr w:rsidR="00717027" w:rsidRPr="00E9358F" w14:paraId="53C424D7" w14:textId="77777777" w:rsidTr="00605DDE">
        <w:trPr>
          <w:trHeight w:val="411"/>
          <w:jc w:val="center"/>
        </w:trPr>
        <w:tc>
          <w:tcPr>
            <w:tcW w:w="3256" w:type="dxa"/>
          </w:tcPr>
          <w:p w14:paraId="4A0DAC81"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b) bugete locale</w:t>
            </w:r>
          </w:p>
        </w:tc>
        <w:tc>
          <w:tcPr>
            <w:tcW w:w="1419" w:type="dxa"/>
          </w:tcPr>
          <w:p w14:paraId="099FA370"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4C4DB99B"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5CD658C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2619CD73"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46EB7CDC"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5321D3B8"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CB7B6C" w14:paraId="60ED1D00" w14:textId="77777777" w:rsidTr="00605DDE">
        <w:trPr>
          <w:jc w:val="center"/>
        </w:trPr>
        <w:tc>
          <w:tcPr>
            <w:tcW w:w="3256" w:type="dxa"/>
          </w:tcPr>
          <w:p w14:paraId="26C634A2"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4.4 Propuneri pentru acoperirea creșterii cheltuielilor bugetare</w:t>
            </w:r>
          </w:p>
        </w:tc>
        <w:tc>
          <w:tcPr>
            <w:tcW w:w="1419" w:type="dxa"/>
          </w:tcPr>
          <w:p w14:paraId="1CDDED3E"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08E31475"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0A947113"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7BC28B97"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717207B4"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3E9E7B4D"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CB7B6C" w14:paraId="083FE7D7" w14:textId="77777777" w:rsidTr="00605DDE">
        <w:trPr>
          <w:jc w:val="center"/>
        </w:trPr>
        <w:tc>
          <w:tcPr>
            <w:tcW w:w="3256" w:type="dxa"/>
          </w:tcPr>
          <w:p w14:paraId="037E75A6"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4.5 Propuneri pentru a compensa reducerea veniturilor bugetare</w:t>
            </w:r>
          </w:p>
        </w:tc>
        <w:tc>
          <w:tcPr>
            <w:tcW w:w="1419" w:type="dxa"/>
          </w:tcPr>
          <w:p w14:paraId="25742352"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737BB53C"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6BE4C4B1"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425AAAEB"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2B5BD383"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7CCE0FC5"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CB7B6C" w14:paraId="38B63EEF" w14:textId="77777777" w:rsidTr="00605DDE">
        <w:trPr>
          <w:jc w:val="center"/>
        </w:trPr>
        <w:tc>
          <w:tcPr>
            <w:tcW w:w="3256" w:type="dxa"/>
          </w:tcPr>
          <w:p w14:paraId="16ADCC8B"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eastAsiaTheme="majorEastAsia" w:hAnsi="Times New Roman" w:cs="Times New Roman"/>
                <w:sz w:val="24"/>
                <w:szCs w:val="24"/>
                <w:lang w:val="ro-RO" w:eastAsia="en-US"/>
              </w:rPr>
              <w:t>4.6 Calcule detaliate privind fundamentarea modificărilor veniturilor și/sau cheltuielilor bugetare</w:t>
            </w:r>
          </w:p>
        </w:tc>
        <w:tc>
          <w:tcPr>
            <w:tcW w:w="1419" w:type="dxa"/>
          </w:tcPr>
          <w:p w14:paraId="248CB522"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450D9B83"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3613D957"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4" w:type="dxa"/>
          </w:tcPr>
          <w:p w14:paraId="3285B5E6"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585" w:type="dxa"/>
          </w:tcPr>
          <w:p w14:paraId="4EA0037B"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c>
          <w:tcPr>
            <w:tcW w:w="2480" w:type="dxa"/>
          </w:tcPr>
          <w:p w14:paraId="6BB27819"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p>
        </w:tc>
      </w:tr>
      <w:tr w:rsidR="00717027" w:rsidRPr="00CB7B6C" w14:paraId="4C5725C7" w14:textId="77777777" w:rsidTr="00605DDE">
        <w:trPr>
          <w:jc w:val="center"/>
        </w:trPr>
        <w:tc>
          <w:tcPr>
            <w:tcW w:w="9493" w:type="dxa"/>
            <w:gridSpan w:val="7"/>
            <w:tcBorders>
              <w:bottom w:val="single" w:sz="4" w:space="0" w:color="auto"/>
            </w:tcBorders>
          </w:tcPr>
          <w:p w14:paraId="4299275F" w14:textId="77777777" w:rsidR="00717027" w:rsidRPr="00E9358F" w:rsidRDefault="00717027" w:rsidP="00717027">
            <w:pPr>
              <w:autoSpaceDE w:val="0"/>
              <w:autoSpaceDN w:val="0"/>
              <w:adjustRightInd w:val="0"/>
              <w:jc w:val="both"/>
              <w:rPr>
                <w:rFonts w:ascii="Times New Roman" w:hAnsi="Times New Roman" w:cs="Times New Roman"/>
                <w:sz w:val="24"/>
                <w:szCs w:val="24"/>
                <w:lang w:val="ro-RO"/>
              </w:rPr>
            </w:pPr>
            <w:r w:rsidRPr="00E9358F">
              <w:rPr>
                <w:rFonts w:ascii="Times New Roman" w:eastAsiaTheme="majorEastAsia" w:hAnsi="Times New Roman" w:cs="Times New Roman"/>
                <w:sz w:val="24"/>
                <w:szCs w:val="24"/>
                <w:lang w:val="ro-RO" w:eastAsia="en-US"/>
              </w:rPr>
              <w:t xml:space="preserve">4.7 Prezentarea, </w:t>
            </w:r>
            <w:r w:rsidRPr="00E9358F">
              <w:rPr>
                <w:rFonts w:ascii="Times New Roman" w:hAnsi="Times New Roman" w:cs="Times New Roman"/>
                <w:sz w:val="24"/>
                <w:szCs w:val="24"/>
                <w:lang w:val="ro-RO"/>
              </w:rPr>
              <w:t>în cazul proiectelor de acte normative a căror adoptare atrage majorarea cheltuielilor bugetare, a următoarelor documente:</w:t>
            </w:r>
          </w:p>
          <w:p w14:paraId="08884B78" w14:textId="77777777" w:rsidR="00717027" w:rsidRPr="00E9358F" w:rsidRDefault="00717027" w:rsidP="00717027">
            <w:pPr>
              <w:autoSpaceDE w:val="0"/>
              <w:autoSpaceDN w:val="0"/>
              <w:adjustRightInd w:val="0"/>
              <w:jc w:val="both"/>
              <w:rPr>
                <w:rFonts w:ascii="Times New Roman" w:hAnsi="Times New Roman" w:cs="Times New Roman"/>
                <w:sz w:val="24"/>
                <w:szCs w:val="24"/>
                <w:lang w:val="ro-RO"/>
              </w:rPr>
            </w:pPr>
            <w:r w:rsidRPr="00E9358F">
              <w:rPr>
                <w:rFonts w:ascii="Times New Roman" w:hAnsi="Times New Roman" w:cs="Times New Roman"/>
                <w:sz w:val="24"/>
                <w:szCs w:val="24"/>
                <w:lang w:val="ro-RO"/>
              </w:rPr>
              <w:t>a) fișa financiară prevăzută la art.15 din Legea nr. 500/2002 privind finanțele publice, cu modificările şi completările ulterioare, însoțită de ipotezele și metodologia de calcul utilizată;</w:t>
            </w:r>
          </w:p>
          <w:p w14:paraId="6FC3F9E8" w14:textId="77777777" w:rsidR="00717027" w:rsidRPr="00E9358F" w:rsidRDefault="00717027" w:rsidP="00717027">
            <w:pPr>
              <w:tabs>
                <w:tab w:val="left" w:pos="567"/>
              </w:tabs>
              <w:rPr>
                <w:rFonts w:ascii="Times New Roman" w:eastAsiaTheme="majorEastAsia" w:hAnsi="Times New Roman" w:cs="Times New Roman"/>
                <w:b/>
                <w:bCs/>
                <w:sz w:val="24"/>
                <w:szCs w:val="24"/>
                <w:lang w:val="ro-RO" w:eastAsia="en-US"/>
              </w:rPr>
            </w:pPr>
            <w:r w:rsidRPr="00E9358F">
              <w:rPr>
                <w:rFonts w:ascii="Times New Roman" w:hAnsi="Times New Roman" w:cs="Times New Roman"/>
                <w:sz w:val="24"/>
                <w:szCs w:val="24"/>
                <w:lang w:val="ro-RO"/>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tc>
      </w:tr>
      <w:tr w:rsidR="00717027" w:rsidRPr="00CB7B6C" w14:paraId="4697D5B2" w14:textId="77777777" w:rsidTr="00605DDE">
        <w:trPr>
          <w:jc w:val="center"/>
        </w:trPr>
        <w:tc>
          <w:tcPr>
            <w:tcW w:w="9493" w:type="dxa"/>
            <w:gridSpan w:val="7"/>
            <w:tcBorders>
              <w:bottom w:val="single" w:sz="4" w:space="0" w:color="auto"/>
            </w:tcBorders>
          </w:tcPr>
          <w:p w14:paraId="46511DBB" w14:textId="77777777" w:rsidR="00717027" w:rsidRPr="009D7019" w:rsidRDefault="00717027" w:rsidP="00717027">
            <w:pPr>
              <w:tabs>
                <w:tab w:val="left" w:pos="567"/>
              </w:tabs>
              <w:rPr>
                <w:rFonts w:ascii="Times New Roman" w:eastAsiaTheme="majorEastAsia" w:hAnsi="Times New Roman" w:cs="Times New Roman"/>
                <w:sz w:val="24"/>
                <w:szCs w:val="24"/>
                <w:lang w:val="ro-RO" w:eastAsia="en-US"/>
              </w:rPr>
            </w:pPr>
            <w:r w:rsidRPr="009D7019">
              <w:rPr>
                <w:rFonts w:ascii="Times New Roman" w:eastAsiaTheme="majorEastAsia" w:hAnsi="Times New Roman" w:cs="Times New Roman"/>
                <w:sz w:val="24"/>
                <w:szCs w:val="24"/>
                <w:lang w:val="ro-RO" w:eastAsia="en-US"/>
              </w:rPr>
              <w:t>4.8 Alte informații</w:t>
            </w:r>
          </w:p>
          <w:p w14:paraId="30EE71FD" w14:textId="4DDCFD42" w:rsidR="009D7019" w:rsidRPr="009D7019" w:rsidRDefault="009D7019" w:rsidP="009D7019">
            <w:pPr>
              <w:jc w:val="both"/>
              <w:rPr>
                <w:rFonts w:ascii="Times New Roman" w:hAnsi="Times New Roman" w:cs="Times New Roman"/>
                <w:color w:val="000000"/>
                <w:sz w:val="24"/>
                <w:szCs w:val="24"/>
                <w:lang w:val="ro-RO"/>
              </w:rPr>
            </w:pPr>
            <w:r w:rsidRPr="00DB24CC">
              <w:rPr>
                <w:rFonts w:ascii="Times New Roman" w:hAnsi="Times New Roman" w:cs="Times New Roman"/>
                <w:b/>
                <w:color w:val="000000"/>
                <w:sz w:val="24"/>
                <w:szCs w:val="24"/>
                <w:lang w:val="ro-RO"/>
              </w:rPr>
              <w:t>Pentru anul 202</w:t>
            </w:r>
            <w:r w:rsidR="00B6710E" w:rsidRPr="00DB24CC">
              <w:rPr>
                <w:rFonts w:ascii="Times New Roman" w:hAnsi="Times New Roman" w:cs="Times New Roman"/>
                <w:b/>
                <w:color w:val="000000"/>
                <w:sz w:val="24"/>
                <w:szCs w:val="24"/>
                <w:lang w:val="ro-RO"/>
              </w:rPr>
              <w:t>5</w:t>
            </w:r>
            <w:r w:rsidRPr="00DB24CC">
              <w:rPr>
                <w:rFonts w:ascii="Times New Roman" w:hAnsi="Times New Roman" w:cs="Times New Roman"/>
                <w:color w:val="000000"/>
                <w:sz w:val="24"/>
                <w:szCs w:val="24"/>
                <w:lang w:val="ro-RO"/>
              </w:rPr>
              <w:t xml:space="preserve">, fondurile prevăzute pentru finanţarea numărului mediu maxim de personal de </w:t>
            </w:r>
            <w:r w:rsidRPr="00DB24CC">
              <w:rPr>
                <w:rFonts w:ascii="Times New Roman" w:hAnsi="Times New Roman" w:cs="Times New Roman"/>
                <w:b/>
                <w:sz w:val="24"/>
                <w:szCs w:val="24"/>
                <w:lang w:val="ro-RO"/>
              </w:rPr>
              <w:t>1.</w:t>
            </w:r>
            <w:r w:rsidR="00DB24CC" w:rsidRPr="00DB24CC">
              <w:rPr>
                <w:rFonts w:ascii="Times New Roman" w:hAnsi="Times New Roman" w:cs="Times New Roman"/>
                <w:b/>
                <w:sz w:val="24"/>
                <w:szCs w:val="24"/>
                <w:lang w:val="ro-RO"/>
              </w:rPr>
              <w:t>182</w:t>
            </w:r>
            <w:r w:rsidRPr="00DB24CC">
              <w:rPr>
                <w:rFonts w:ascii="Times New Roman" w:hAnsi="Times New Roman" w:cs="Times New Roman"/>
                <w:b/>
                <w:sz w:val="24"/>
                <w:szCs w:val="24"/>
                <w:lang w:val="ro-RO"/>
              </w:rPr>
              <w:t xml:space="preserve"> salariaţi</w:t>
            </w:r>
            <w:r w:rsidRPr="00DB24CC">
              <w:rPr>
                <w:rFonts w:ascii="Times New Roman" w:hAnsi="Times New Roman" w:cs="Times New Roman"/>
                <w:color w:val="000000"/>
                <w:sz w:val="24"/>
                <w:szCs w:val="24"/>
                <w:lang w:val="ro-RO"/>
              </w:rPr>
              <w:t xml:space="preserve">, sunt în cuantum de </w:t>
            </w:r>
            <w:r w:rsidR="009B07AE" w:rsidRPr="00DB24CC">
              <w:rPr>
                <w:rFonts w:ascii="Times New Roman" w:hAnsi="Times New Roman" w:cs="Times New Roman"/>
                <w:b/>
                <w:bCs/>
                <w:sz w:val="24"/>
                <w:szCs w:val="24"/>
                <w:lang w:val="ro-RO"/>
              </w:rPr>
              <w:t>10</w:t>
            </w:r>
            <w:r w:rsidRPr="00DB24CC">
              <w:rPr>
                <w:rFonts w:ascii="Times New Roman" w:hAnsi="Times New Roman" w:cs="Times New Roman"/>
                <w:b/>
                <w:bCs/>
                <w:sz w:val="24"/>
                <w:szCs w:val="24"/>
                <w:lang w:val="ro-RO"/>
              </w:rPr>
              <w:t>.</w:t>
            </w:r>
            <w:r w:rsidR="009B07AE" w:rsidRPr="00DB24CC">
              <w:rPr>
                <w:rFonts w:ascii="Times New Roman" w:hAnsi="Times New Roman" w:cs="Times New Roman"/>
                <w:b/>
                <w:bCs/>
                <w:sz w:val="24"/>
                <w:szCs w:val="24"/>
                <w:lang w:val="ro-RO"/>
              </w:rPr>
              <w:t>000</w:t>
            </w:r>
            <w:r w:rsidRPr="00DB24CC">
              <w:rPr>
                <w:rFonts w:ascii="Times New Roman" w:hAnsi="Times New Roman" w:cs="Times New Roman"/>
                <w:b/>
                <w:sz w:val="24"/>
                <w:szCs w:val="24"/>
                <w:lang w:val="ro-RO"/>
              </w:rPr>
              <w:t xml:space="preserve"> </w:t>
            </w:r>
            <w:r w:rsidRPr="00DB24CC">
              <w:rPr>
                <w:rFonts w:ascii="Times New Roman" w:hAnsi="Times New Roman" w:cs="Times New Roman"/>
                <w:b/>
                <w:color w:val="000000"/>
                <w:sz w:val="24"/>
                <w:szCs w:val="24"/>
                <w:lang w:val="ro-RO"/>
              </w:rPr>
              <w:t>mii lei</w:t>
            </w:r>
            <w:r w:rsidRPr="00DB24CC">
              <w:rPr>
                <w:rFonts w:ascii="Times New Roman" w:hAnsi="Times New Roman" w:cs="Times New Roman"/>
                <w:color w:val="000000"/>
                <w:sz w:val="24"/>
                <w:szCs w:val="24"/>
                <w:lang w:val="ro-RO"/>
              </w:rPr>
              <w:t xml:space="preserve"> şi sunt prevăzute în bugetul </w:t>
            </w:r>
            <w:r w:rsidR="00B6710E" w:rsidRPr="00DB24CC">
              <w:rPr>
                <w:rFonts w:ascii="Times New Roman" w:hAnsi="Times New Roman" w:cs="Times New Roman"/>
                <w:sz w:val="24"/>
                <w:szCs w:val="24"/>
                <w:lang w:val="ro-RO"/>
              </w:rPr>
              <w:t xml:space="preserve">Ministerului Economiei, Digitalizării, </w:t>
            </w:r>
            <w:r w:rsidR="00B6710E" w:rsidRPr="00DB24CC">
              <w:rPr>
                <w:rFonts w:ascii="Times New Roman" w:hAnsi="Times New Roman" w:cs="Times New Roman"/>
                <w:color w:val="000000"/>
                <w:sz w:val="24"/>
                <w:szCs w:val="24"/>
                <w:lang w:val="ro-RO"/>
              </w:rPr>
              <w:t>Antreprenoriatului și Turismului</w:t>
            </w:r>
            <w:r w:rsidRPr="00DB24CC">
              <w:rPr>
                <w:rFonts w:ascii="Times New Roman" w:hAnsi="Times New Roman" w:cs="Times New Roman"/>
                <w:color w:val="000000"/>
                <w:sz w:val="24"/>
                <w:szCs w:val="24"/>
                <w:lang w:val="ro-RO"/>
              </w:rPr>
              <w:t xml:space="preserve">, </w:t>
            </w:r>
            <w:r w:rsidRPr="00CB7B6C">
              <w:rPr>
                <w:rFonts w:ascii="Times New Roman" w:hAnsi="Times New Roman" w:cs="Times New Roman"/>
                <w:sz w:val="24"/>
                <w:szCs w:val="24"/>
                <w:lang w:val="ro-RO"/>
              </w:rPr>
              <w:t>la capitolul 82.01 „Industria extractivă, prelucrătoare şi construcţii”, titlul 55 „Alte transferuri”, alineatul 55.01.01 „Restructurarea industriei de apărare”</w:t>
            </w:r>
            <w:r w:rsidRPr="00DB24CC">
              <w:rPr>
                <w:rFonts w:ascii="Times New Roman" w:hAnsi="Times New Roman" w:cs="Times New Roman"/>
                <w:color w:val="000000"/>
                <w:sz w:val="24"/>
                <w:szCs w:val="24"/>
                <w:lang w:val="ro-RO"/>
              </w:rPr>
              <w:t>. Această sumă este necesară pentru plata drepturilor salariale și a contribuțiilor de asigurări sociale datorate de angajator.</w:t>
            </w:r>
            <w:r w:rsidRPr="00E9358F">
              <w:rPr>
                <w:rFonts w:ascii="Times New Roman" w:hAnsi="Times New Roman" w:cs="Times New Roman"/>
                <w:color w:val="000000"/>
                <w:sz w:val="24"/>
                <w:szCs w:val="24"/>
                <w:lang w:val="ro-RO"/>
              </w:rPr>
              <w:t xml:space="preserve"> </w:t>
            </w:r>
          </w:p>
        </w:tc>
      </w:tr>
      <w:tr w:rsidR="00717027" w:rsidRPr="00CB7B6C" w14:paraId="04BA81CE" w14:textId="77777777" w:rsidTr="00605DDE">
        <w:trPr>
          <w:jc w:val="center"/>
        </w:trPr>
        <w:tc>
          <w:tcPr>
            <w:tcW w:w="9493" w:type="dxa"/>
            <w:gridSpan w:val="7"/>
            <w:tcBorders>
              <w:bottom w:val="single" w:sz="4" w:space="0" w:color="auto"/>
            </w:tcBorders>
          </w:tcPr>
          <w:p w14:paraId="49EDDEE3" w14:textId="77777777" w:rsidR="00717027" w:rsidRPr="00E9358F" w:rsidRDefault="00717027" w:rsidP="00717027">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Secțiunea a 5-a:</w:t>
            </w:r>
          </w:p>
          <w:p w14:paraId="458C8068" w14:textId="77777777" w:rsidR="00717027" w:rsidRPr="00E9358F" w:rsidRDefault="00717027" w:rsidP="00717027">
            <w:pPr>
              <w:tabs>
                <w:tab w:val="left" w:pos="567"/>
              </w:tabs>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Efectele proiectului de act normativ asupra legislației în vigoare</w:t>
            </w:r>
          </w:p>
          <w:p w14:paraId="3A26FCBC"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p>
        </w:tc>
      </w:tr>
      <w:tr w:rsidR="00717027" w:rsidRPr="00E9358F" w14:paraId="77DA2214" w14:textId="77777777" w:rsidTr="00605DDE">
        <w:trPr>
          <w:jc w:val="center"/>
        </w:trPr>
        <w:tc>
          <w:tcPr>
            <w:tcW w:w="9493" w:type="dxa"/>
            <w:gridSpan w:val="7"/>
            <w:tcBorders>
              <w:top w:val="single" w:sz="4" w:space="0" w:color="auto"/>
            </w:tcBorders>
          </w:tcPr>
          <w:p w14:paraId="02127695"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5.1 Măsuri normative necesare pentru aplicarea prevederilor proiectului de act normativ</w:t>
            </w:r>
          </w:p>
          <w:p w14:paraId="195BF531" w14:textId="77777777" w:rsidR="00717027" w:rsidRPr="00E9358F" w:rsidRDefault="009D7019"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CB7B6C" w14:paraId="77BC186C" w14:textId="77777777" w:rsidTr="00605DDE">
        <w:trPr>
          <w:jc w:val="center"/>
        </w:trPr>
        <w:tc>
          <w:tcPr>
            <w:tcW w:w="9493" w:type="dxa"/>
            <w:gridSpan w:val="7"/>
          </w:tcPr>
          <w:p w14:paraId="065A62D6" w14:textId="77777777" w:rsidR="00717027" w:rsidRPr="00E9358F" w:rsidRDefault="00717027" w:rsidP="00717027">
            <w:pPr>
              <w:jc w:val="both"/>
              <w:rPr>
                <w:rFonts w:ascii="Times New Roman" w:eastAsiaTheme="majorEastAsia" w:hAnsi="Times New Roman" w:cs="Times New Roman"/>
                <w:iCs/>
                <w:sz w:val="24"/>
                <w:szCs w:val="24"/>
                <w:lang w:val="ro-RO" w:eastAsia="en-US"/>
              </w:rPr>
            </w:pPr>
            <w:r w:rsidRPr="00E9358F">
              <w:rPr>
                <w:rFonts w:ascii="Times New Roman" w:eastAsiaTheme="majorEastAsia" w:hAnsi="Times New Roman" w:cs="Times New Roman"/>
                <w:iCs/>
                <w:sz w:val="24"/>
                <w:szCs w:val="24"/>
                <w:lang w:val="ro-RO" w:eastAsia="en-US"/>
              </w:rPr>
              <w:t>5.2 Impactul asupra legislației in domeniul achizițiilor publice</w:t>
            </w:r>
          </w:p>
          <w:p w14:paraId="548E7219"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Nu este cazul </w:t>
            </w:r>
          </w:p>
        </w:tc>
      </w:tr>
      <w:tr w:rsidR="00717027" w:rsidRPr="00E9358F" w14:paraId="3A367446" w14:textId="77777777" w:rsidTr="00605DDE">
        <w:trPr>
          <w:jc w:val="center"/>
        </w:trPr>
        <w:tc>
          <w:tcPr>
            <w:tcW w:w="9493" w:type="dxa"/>
            <w:gridSpan w:val="7"/>
          </w:tcPr>
          <w:p w14:paraId="0601E44B"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5.3 Conformitatea proiectului de act normativ cu legislația UE (în cazul proiectelor ce transpun sau asigură aplicarea unor prevederi de drept UE). </w:t>
            </w:r>
          </w:p>
          <w:p w14:paraId="119FCADE"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lastRenderedPageBreak/>
              <w:t>Nu este cazul</w:t>
            </w:r>
          </w:p>
        </w:tc>
      </w:tr>
      <w:tr w:rsidR="00717027" w:rsidRPr="00E9358F" w14:paraId="370F54FE" w14:textId="77777777" w:rsidTr="00605DDE">
        <w:trPr>
          <w:jc w:val="center"/>
        </w:trPr>
        <w:tc>
          <w:tcPr>
            <w:tcW w:w="9493" w:type="dxa"/>
            <w:gridSpan w:val="7"/>
          </w:tcPr>
          <w:p w14:paraId="56178229"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lastRenderedPageBreak/>
              <w:t>5.3.1 Măsuri normative necesare transpunerii directivelor UE</w:t>
            </w:r>
          </w:p>
          <w:p w14:paraId="5EE94BD7"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E9358F" w14:paraId="2245CB47" w14:textId="77777777" w:rsidTr="00605DDE">
        <w:trPr>
          <w:jc w:val="center"/>
        </w:trPr>
        <w:tc>
          <w:tcPr>
            <w:tcW w:w="9493" w:type="dxa"/>
            <w:gridSpan w:val="7"/>
          </w:tcPr>
          <w:p w14:paraId="623C5E9A"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5.3.2 Măsuri normative necesare aplicării actelor legislative UE  </w:t>
            </w:r>
          </w:p>
          <w:p w14:paraId="41061AFA"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Nu este cazul. </w:t>
            </w:r>
          </w:p>
        </w:tc>
      </w:tr>
      <w:tr w:rsidR="00717027" w:rsidRPr="00CB7B6C" w14:paraId="5A311838" w14:textId="77777777" w:rsidTr="00605DDE">
        <w:trPr>
          <w:jc w:val="center"/>
        </w:trPr>
        <w:tc>
          <w:tcPr>
            <w:tcW w:w="9493" w:type="dxa"/>
            <w:gridSpan w:val="7"/>
          </w:tcPr>
          <w:p w14:paraId="6A943031" w14:textId="77777777" w:rsidR="00717027" w:rsidRPr="00E9358F" w:rsidRDefault="00717027" w:rsidP="00717027">
            <w:pPr>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5.4 Hotărâri ale Curții de Justiție a Uniunii Europene </w:t>
            </w:r>
          </w:p>
          <w:p w14:paraId="5209B9FE"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E9358F" w14:paraId="4AEBAC83" w14:textId="77777777" w:rsidTr="00605DDE">
        <w:trPr>
          <w:jc w:val="center"/>
        </w:trPr>
        <w:tc>
          <w:tcPr>
            <w:tcW w:w="9493" w:type="dxa"/>
            <w:gridSpan w:val="7"/>
            <w:tcBorders>
              <w:bottom w:val="single" w:sz="4" w:space="0" w:color="auto"/>
            </w:tcBorders>
          </w:tcPr>
          <w:p w14:paraId="287AF91B"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5.5 Alte acte normative  şi/sau documente internaționale din care decurg angajamente asumate </w:t>
            </w:r>
          </w:p>
          <w:p w14:paraId="10B355B5"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CB7B6C" w14:paraId="6E8293DD" w14:textId="77777777" w:rsidTr="00605DDE">
        <w:trPr>
          <w:jc w:val="center"/>
        </w:trPr>
        <w:tc>
          <w:tcPr>
            <w:tcW w:w="9493" w:type="dxa"/>
            <w:gridSpan w:val="7"/>
            <w:tcBorders>
              <w:bottom w:val="single" w:sz="4" w:space="0" w:color="auto"/>
            </w:tcBorders>
          </w:tcPr>
          <w:p w14:paraId="4E45FA6D"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5.6. Alte informații  </w:t>
            </w:r>
          </w:p>
          <w:p w14:paraId="6DA50375"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CB7B6C" w14:paraId="0AA85243" w14:textId="77777777" w:rsidTr="00605DDE">
        <w:trPr>
          <w:jc w:val="center"/>
        </w:trPr>
        <w:tc>
          <w:tcPr>
            <w:tcW w:w="9493" w:type="dxa"/>
            <w:gridSpan w:val="7"/>
            <w:tcBorders>
              <w:bottom w:val="single" w:sz="4" w:space="0" w:color="auto"/>
            </w:tcBorders>
          </w:tcPr>
          <w:p w14:paraId="226F88F0" w14:textId="77777777" w:rsidR="00717027" w:rsidRPr="00E9358F" w:rsidRDefault="00717027" w:rsidP="00717027">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Secțiunea a 6-a:</w:t>
            </w:r>
          </w:p>
          <w:p w14:paraId="2BE51836" w14:textId="77777777" w:rsidR="00717027" w:rsidRPr="00E9358F" w:rsidRDefault="00717027" w:rsidP="00717027">
            <w:pPr>
              <w:tabs>
                <w:tab w:val="left" w:pos="567"/>
              </w:tabs>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Consultările efectuate în vederea elaborării proiectului de act normativ</w:t>
            </w:r>
          </w:p>
          <w:p w14:paraId="0EDE8BDD"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p>
        </w:tc>
      </w:tr>
      <w:tr w:rsidR="00717027" w:rsidRPr="00E9358F" w14:paraId="013E6B8B" w14:textId="77777777" w:rsidTr="00605DDE">
        <w:trPr>
          <w:jc w:val="center"/>
        </w:trPr>
        <w:tc>
          <w:tcPr>
            <w:tcW w:w="9493" w:type="dxa"/>
            <w:gridSpan w:val="7"/>
            <w:tcBorders>
              <w:top w:val="single" w:sz="4" w:space="0" w:color="auto"/>
            </w:tcBorders>
          </w:tcPr>
          <w:p w14:paraId="766897EC" w14:textId="77777777" w:rsidR="00717027" w:rsidRPr="00E9358F" w:rsidRDefault="00717027" w:rsidP="00717027">
            <w:pPr>
              <w:jc w:val="both"/>
              <w:rPr>
                <w:rFonts w:ascii="Times New Roman" w:hAnsi="Times New Roman" w:cs="Times New Roman"/>
                <w:bCs/>
                <w:sz w:val="24"/>
                <w:szCs w:val="24"/>
                <w:lang w:val="ro-RO"/>
              </w:rPr>
            </w:pPr>
            <w:r w:rsidRPr="00E9358F">
              <w:rPr>
                <w:rFonts w:ascii="Times New Roman" w:hAnsi="Times New Roman" w:cs="Times New Roman"/>
                <w:bCs/>
                <w:sz w:val="24"/>
                <w:szCs w:val="24"/>
                <w:lang w:val="ro-RO"/>
              </w:rPr>
              <w:t>6.1 Informații privind neaplicarea procedurii de participare la elaborarea actelor normative</w:t>
            </w:r>
          </w:p>
          <w:p w14:paraId="259932CB" w14:textId="77777777" w:rsidR="00717027" w:rsidRPr="00E9358F" w:rsidRDefault="00717027" w:rsidP="00717027">
            <w:pPr>
              <w:tabs>
                <w:tab w:val="left" w:pos="567"/>
              </w:tabs>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tc>
      </w:tr>
      <w:tr w:rsidR="00717027" w:rsidRPr="00E9358F" w14:paraId="721BBA0B" w14:textId="77777777" w:rsidTr="00605DDE">
        <w:trPr>
          <w:jc w:val="center"/>
        </w:trPr>
        <w:tc>
          <w:tcPr>
            <w:tcW w:w="9493" w:type="dxa"/>
            <w:gridSpan w:val="7"/>
          </w:tcPr>
          <w:p w14:paraId="52B06626" w14:textId="77777777" w:rsidR="00717027" w:rsidRPr="00E9358F" w:rsidRDefault="00717027" w:rsidP="00717027">
            <w:pPr>
              <w:jc w:val="both"/>
              <w:rPr>
                <w:rFonts w:ascii="Times New Roman" w:hAnsi="Times New Roman" w:cs="Times New Roman"/>
                <w:sz w:val="24"/>
                <w:szCs w:val="24"/>
                <w:lang w:val="ro-RO"/>
              </w:rPr>
            </w:pPr>
            <w:r w:rsidRPr="00E9358F">
              <w:rPr>
                <w:rFonts w:ascii="Times New Roman" w:hAnsi="Times New Roman" w:cs="Times New Roman"/>
                <w:bCs/>
                <w:sz w:val="24"/>
                <w:szCs w:val="24"/>
                <w:lang w:val="ro-RO"/>
              </w:rPr>
              <w:t>6.2 Informații privind procesul de consultare cu organizații neguvernamentale, institute de cercetare și alte organisme implicate.</w:t>
            </w:r>
            <w:r w:rsidRPr="00E9358F">
              <w:rPr>
                <w:rFonts w:ascii="Times New Roman" w:hAnsi="Times New Roman" w:cs="Times New Roman"/>
                <w:sz w:val="24"/>
                <w:szCs w:val="24"/>
                <w:lang w:val="ro-RO"/>
              </w:rPr>
              <w:t xml:space="preserve"> </w:t>
            </w:r>
          </w:p>
          <w:p w14:paraId="544B918D" w14:textId="77777777" w:rsidR="00717027" w:rsidRPr="00EF50B1" w:rsidRDefault="00EF50B1" w:rsidP="00717027">
            <w:pPr>
              <w:tabs>
                <w:tab w:val="left" w:pos="567"/>
              </w:tabs>
              <w:rPr>
                <w:rFonts w:ascii="Times New Roman" w:eastAsiaTheme="majorEastAsia" w:hAnsi="Times New Roman" w:cs="Times New Roman"/>
                <w:sz w:val="24"/>
                <w:szCs w:val="24"/>
                <w:lang w:val="ro-RO" w:eastAsia="en-US"/>
              </w:rPr>
            </w:pPr>
            <w:r w:rsidRPr="00EF50B1">
              <w:rPr>
                <w:rFonts w:ascii="Times New Roman" w:hAnsi="Times New Roman" w:cs="Times New Roman"/>
                <w:color w:val="000000"/>
                <w:sz w:val="24"/>
                <w:szCs w:val="24"/>
                <w:lang w:val="ro-RO"/>
              </w:rPr>
              <w:t>Au fost consultate organele de conducere şi sindicatele din industria naţională de apărare, care au susţinut proiectul de act normativ.</w:t>
            </w:r>
          </w:p>
        </w:tc>
      </w:tr>
      <w:tr w:rsidR="00717027" w:rsidRPr="00E9358F" w14:paraId="08C4F452" w14:textId="77777777" w:rsidTr="00605DDE">
        <w:trPr>
          <w:jc w:val="center"/>
        </w:trPr>
        <w:tc>
          <w:tcPr>
            <w:tcW w:w="9493" w:type="dxa"/>
            <w:gridSpan w:val="7"/>
          </w:tcPr>
          <w:p w14:paraId="2CBD2073"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6.3 Informații despre consultările organizate cu autoritățile administrației publice locale </w:t>
            </w:r>
          </w:p>
          <w:p w14:paraId="6E929758" w14:textId="77777777" w:rsidR="00717027" w:rsidRPr="00E9358F" w:rsidRDefault="00717027" w:rsidP="00717027">
            <w:pPr>
              <w:jc w:val="both"/>
              <w:rPr>
                <w:rFonts w:ascii="Times New Roman" w:hAnsi="Times New Roman" w:cs="Times New Roman"/>
                <w:bCs/>
                <w:sz w:val="24"/>
                <w:szCs w:val="24"/>
                <w:lang w:val="ro-RO"/>
              </w:rPr>
            </w:pPr>
            <w:r w:rsidRPr="00E9358F">
              <w:rPr>
                <w:rFonts w:ascii="Times New Roman" w:hAnsi="Times New Roman" w:cs="Times New Roman"/>
                <w:bCs/>
                <w:sz w:val="24"/>
                <w:szCs w:val="24"/>
                <w:lang w:val="ro-RO"/>
              </w:rPr>
              <w:t>Nu este cazul.</w:t>
            </w:r>
          </w:p>
        </w:tc>
      </w:tr>
      <w:tr w:rsidR="00717027" w:rsidRPr="00E9358F" w14:paraId="26A61966" w14:textId="77777777" w:rsidTr="00605DDE">
        <w:trPr>
          <w:jc w:val="center"/>
        </w:trPr>
        <w:tc>
          <w:tcPr>
            <w:tcW w:w="9493" w:type="dxa"/>
            <w:gridSpan w:val="7"/>
          </w:tcPr>
          <w:p w14:paraId="06DDB041" w14:textId="77777777" w:rsidR="00717027" w:rsidRPr="00E9358F" w:rsidRDefault="00717027" w:rsidP="00717027">
            <w:pPr>
              <w:jc w:val="both"/>
              <w:rPr>
                <w:rFonts w:ascii="Times New Roman" w:eastAsiaTheme="majorEastAsia" w:hAnsi="Times New Roman" w:cs="Times New Roman"/>
                <w:sz w:val="24"/>
                <w:szCs w:val="24"/>
                <w:lang w:val="ro-RO"/>
              </w:rPr>
            </w:pPr>
            <w:r w:rsidRPr="00E9358F">
              <w:rPr>
                <w:rFonts w:ascii="Times New Roman" w:eastAsiaTheme="majorEastAsia" w:hAnsi="Times New Roman" w:cs="Times New Roman"/>
                <w:sz w:val="24"/>
                <w:szCs w:val="24"/>
                <w:lang w:val="ro-RO"/>
              </w:rPr>
              <w:t xml:space="preserve">6.4 Informații privind puncte de vedere/opinii emise de organisme consultative constituite prin acte normative </w:t>
            </w:r>
          </w:p>
          <w:p w14:paraId="01BF6584" w14:textId="77777777" w:rsidR="00717027" w:rsidRPr="00E9358F" w:rsidRDefault="00717027" w:rsidP="00717027">
            <w:pPr>
              <w:jc w:val="both"/>
              <w:rPr>
                <w:rFonts w:ascii="Times New Roman" w:hAnsi="Times New Roman" w:cs="Times New Roman"/>
                <w:bCs/>
                <w:sz w:val="24"/>
                <w:szCs w:val="24"/>
                <w:lang w:val="ro-RO"/>
              </w:rPr>
            </w:pPr>
            <w:r w:rsidRPr="00E9358F">
              <w:rPr>
                <w:rFonts w:ascii="Times New Roman" w:hAnsi="Times New Roman" w:cs="Times New Roman"/>
                <w:bCs/>
                <w:sz w:val="24"/>
                <w:szCs w:val="24"/>
                <w:lang w:val="ro-RO"/>
              </w:rPr>
              <w:t>Nu este cazul.</w:t>
            </w:r>
          </w:p>
        </w:tc>
      </w:tr>
      <w:tr w:rsidR="00717027" w:rsidRPr="00E9358F" w14:paraId="685DDDC2" w14:textId="77777777" w:rsidTr="00605DDE">
        <w:trPr>
          <w:jc w:val="center"/>
        </w:trPr>
        <w:tc>
          <w:tcPr>
            <w:tcW w:w="9493" w:type="dxa"/>
            <w:gridSpan w:val="7"/>
            <w:tcBorders>
              <w:bottom w:val="single" w:sz="4" w:space="0" w:color="auto"/>
            </w:tcBorders>
          </w:tcPr>
          <w:p w14:paraId="4D292A7C"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6.5 Informații privind avizarea de către: </w:t>
            </w:r>
          </w:p>
          <w:p w14:paraId="3F4FAC04"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a)Consiliul Legislativ</w:t>
            </w:r>
          </w:p>
          <w:p w14:paraId="6E86EE8A"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 Este necesar avizul.</w:t>
            </w:r>
          </w:p>
          <w:p w14:paraId="497A2336"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b)Consiliul Suprem de Apărare a Țării </w:t>
            </w:r>
          </w:p>
          <w:p w14:paraId="6DA5AADA"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p w14:paraId="07985E0B"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c)Consiliul Economic și Social </w:t>
            </w:r>
          </w:p>
          <w:p w14:paraId="7B5C6E63" w14:textId="77777777" w:rsidR="00EF50B1" w:rsidRPr="00E9358F" w:rsidRDefault="00EF50B1" w:rsidP="00EF50B1">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Este necesar avizul.</w:t>
            </w:r>
          </w:p>
          <w:p w14:paraId="2403B41E"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d)Consiliul Concurenței </w:t>
            </w:r>
          </w:p>
          <w:p w14:paraId="3D21A8F5"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Nu este cazul.</w:t>
            </w:r>
          </w:p>
          <w:p w14:paraId="4F5B9279" w14:textId="77777777" w:rsidR="00717027" w:rsidRPr="00E9358F" w:rsidRDefault="00717027" w:rsidP="00717027">
            <w:pPr>
              <w:autoSpaceDE w:val="0"/>
              <w:autoSpaceDN w:val="0"/>
              <w:adjustRightInd w:val="0"/>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e)Curtea de Conturi </w:t>
            </w:r>
          </w:p>
          <w:p w14:paraId="070F1323" w14:textId="77777777" w:rsidR="00717027" w:rsidRPr="00E9358F" w:rsidRDefault="00717027" w:rsidP="00717027">
            <w:pPr>
              <w:autoSpaceDE w:val="0"/>
              <w:autoSpaceDN w:val="0"/>
              <w:adjustRightInd w:val="0"/>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 xml:space="preserve">Nu este cazul. </w:t>
            </w:r>
          </w:p>
        </w:tc>
      </w:tr>
      <w:tr w:rsidR="00717027" w:rsidRPr="00CB7B6C" w14:paraId="4A42DE13" w14:textId="77777777" w:rsidTr="00605DDE">
        <w:trPr>
          <w:jc w:val="center"/>
        </w:trPr>
        <w:tc>
          <w:tcPr>
            <w:tcW w:w="9493" w:type="dxa"/>
            <w:gridSpan w:val="7"/>
            <w:tcBorders>
              <w:bottom w:val="single" w:sz="4" w:space="0" w:color="auto"/>
            </w:tcBorders>
          </w:tcPr>
          <w:p w14:paraId="74115695" w14:textId="77777777" w:rsidR="00717027" w:rsidRPr="00E9358F" w:rsidRDefault="00717027" w:rsidP="00717027">
            <w:pPr>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6.6 Alte informaţii</w:t>
            </w:r>
          </w:p>
          <w:p w14:paraId="58337CAD" w14:textId="77777777" w:rsidR="00717027" w:rsidRPr="00E9358F" w:rsidRDefault="00717027" w:rsidP="00717027">
            <w:pPr>
              <w:jc w:val="both"/>
              <w:rPr>
                <w:rFonts w:ascii="Times New Roman" w:hAnsi="Times New Roman" w:cs="Times New Roman"/>
                <w:bCs/>
                <w:sz w:val="24"/>
                <w:szCs w:val="24"/>
                <w:lang w:val="ro-RO"/>
              </w:rPr>
            </w:pPr>
            <w:r w:rsidRPr="00E9358F">
              <w:rPr>
                <w:rFonts w:ascii="Times New Roman" w:hAnsi="Times New Roman" w:cs="Times New Roman"/>
                <w:bCs/>
                <w:sz w:val="24"/>
                <w:szCs w:val="24"/>
                <w:lang w:val="ro-RO"/>
              </w:rPr>
              <w:t>Nu este cazul.</w:t>
            </w:r>
          </w:p>
        </w:tc>
      </w:tr>
      <w:tr w:rsidR="00717027" w:rsidRPr="00CB7B6C" w14:paraId="4127177A" w14:textId="77777777" w:rsidTr="00605DDE">
        <w:trPr>
          <w:jc w:val="center"/>
        </w:trPr>
        <w:tc>
          <w:tcPr>
            <w:tcW w:w="9493" w:type="dxa"/>
            <w:gridSpan w:val="7"/>
            <w:tcBorders>
              <w:bottom w:val="single" w:sz="4" w:space="0" w:color="auto"/>
            </w:tcBorders>
          </w:tcPr>
          <w:p w14:paraId="024E67F5" w14:textId="77777777" w:rsidR="00717027" w:rsidRPr="00E9358F" w:rsidRDefault="00717027" w:rsidP="00717027">
            <w:pPr>
              <w:jc w:val="center"/>
              <w:rPr>
                <w:rFonts w:ascii="Times New Roman" w:eastAsiaTheme="majorEastAsia" w:hAnsi="Times New Roman" w:cs="Times New Roman"/>
                <w:b/>
                <w:sz w:val="24"/>
                <w:szCs w:val="24"/>
                <w:lang w:val="ro-RO"/>
              </w:rPr>
            </w:pPr>
            <w:r w:rsidRPr="00E9358F">
              <w:rPr>
                <w:rFonts w:ascii="Times New Roman" w:eastAsiaTheme="majorEastAsia" w:hAnsi="Times New Roman" w:cs="Times New Roman"/>
                <w:b/>
                <w:sz w:val="24"/>
                <w:szCs w:val="24"/>
                <w:lang w:val="ro-RO"/>
              </w:rPr>
              <w:t>Secțiunea a 7-a:</w:t>
            </w:r>
          </w:p>
          <w:p w14:paraId="14F6C872" w14:textId="77777777" w:rsidR="00717027" w:rsidRDefault="00717027" w:rsidP="00717027">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Activităţi de informare publică privind elaborarea şi implementarea proiectului de act normativ</w:t>
            </w:r>
          </w:p>
          <w:p w14:paraId="5A7477DC" w14:textId="77777777" w:rsidR="000017F3" w:rsidRPr="00E9358F" w:rsidRDefault="000017F3" w:rsidP="00717027">
            <w:pPr>
              <w:jc w:val="center"/>
              <w:rPr>
                <w:rFonts w:ascii="Times New Roman" w:eastAsiaTheme="majorEastAsia" w:hAnsi="Times New Roman" w:cs="Times New Roman"/>
                <w:b/>
                <w:sz w:val="24"/>
                <w:szCs w:val="24"/>
                <w:lang w:val="ro-RO" w:eastAsia="en-US"/>
              </w:rPr>
            </w:pPr>
          </w:p>
        </w:tc>
      </w:tr>
      <w:tr w:rsidR="00717027" w:rsidRPr="00CB7B6C" w14:paraId="1E42A068" w14:textId="77777777" w:rsidTr="00605DDE">
        <w:trPr>
          <w:jc w:val="center"/>
        </w:trPr>
        <w:tc>
          <w:tcPr>
            <w:tcW w:w="9493" w:type="dxa"/>
            <w:gridSpan w:val="7"/>
            <w:tcBorders>
              <w:top w:val="single" w:sz="4" w:space="0" w:color="auto"/>
            </w:tcBorders>
          </w:tcPr>
          <w:p w14:paraId="13BC7405" w14:textId="77777777" w:rsidR="00717027" w:rsidRPr="00E9358F" w:rsidRDefault="00717027" w:rsidP="00717027">
            <w:pPr>
              <w:pStyle w:val="ListParagraph"/>
              <w:numPr>
                <w:ilvl w:val="1"/>
                <w:numId w:val="17"/>
              </w:numPr>
              <w:autoSpaceDE w:val="0"/>
              <w:autoSpaceDN w:val="0"/>
              <w:adjustRightInd w:val="0"/>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Informarea societății civile cu privire la elaborarea proiectului de act normativ</w:t>
            </w:r>
          </w:p>
          <w:p w14:paraId="3FBBAF58" w14:textId="77777777" w:rsidR="00717027" w:rsidRPr="00F855C7" w:rsidRDefault="00717027" w:rsidP="00F855C7">
            <w:pPr>
              <w:autoSpaceDE w:val="0"/>
              <w:autoSpaceDN w:val="0"/>
              <w:adjustRightInd w:val="0"/>
              <w:jc w:val="both"/>
              <w:rPr>
                <w:rFonts w:ascii="Times New Roman" w:eastAsiaTheme="majorEastAsia" w:hAnsi="Times New Roman" w:cs="Times New Roman"/>
                <w:sz w:val="24"/>
                <w:szCs w:val="24"/>
                <w:lang w:val="ro-RO" w:eastAsia="en-US"/>
              </w:rPr>
            </w:pPr>
            <w:r w:rsidRPr="00E9358F">
              <w:rPr>
                <w:rFonts w:ascii="Times New Roman" w:eastAsiaTheme="majorEastAsia" w:hAnsi="Times New Roman" w:cs="Times New Roman"/>
                <w:sz w:val="24"/>
                <w:szCs w:val="24"/>
                <w:lang w:val="ro-RO" w:eastAsia="en-US"/>
              </w:rPr>
              <w:t>Pentru proiectul de act normativ a fost îndeplinită procedura stabilită prin dispozițiile Legii nr. 52/2003 privind transparența decizională în administrația publică, republicată.</w:t>
            </w:r>
          </w:p>
        </w:tc>
      </w:tr>
      <w:tr w:rsidR="00717027" w:rsidRPr="00E9358F" w14:paraId="08E80D74" w14:textId="77777777" w:rsidTr="00605DDE">
        <w:trPr>
          <w:jc w:val="center"/>
        </w:trPr>
        <w:tc>
          <w:tcPr>
            <w:tcW w:w="9493" w:type="dxa"/>
            <w:gridSpan w:val="7"/>
            <w:tcBorders>
              <w:bottom w:val="single" w:sz="4" w:space="0" w:color="auto"/>
            </w:tcBorders>
          </w:tcPr>
          <w:p w14:paraId="7D107CA9" w14:textId="77777777" w:rsidR="00717027" w:rsidRPr="00E9358F" w:rsidRDefault="00EF50B1" w:rsidP="00EF50B1">
            <w:pPr>
              <w:pStyle w:val="ListParagraph"/>
              <w:ind w:left="0"/>
              <w:jc w:val="both"/>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t xml:space="preserve">7.2 </w:t>
            </w:r>
            <w:r w:rsidR="00717027" w:rsidRPr="00E9358F">
              <w:rPr>
                <w:rFonts w:ascii="Times New Roman" w:eastAsiaTheme="majorEastAsia" w:hAnsi="Times New Roman" w:cs="Times New Roman"/>
                <w:sz w:val="24"/>
                <w:szCs w:val="24"/>
                <w:lang w:val="ro-RO" w:eastAsia="en-US"/>
              </w:rPr>
              <w:t>Informarea societății civile cu privire la eventualul impact asupra mediului în urma implementării proiectului de act normativ, precum şi efectele asupra sănătății și securității cetățenilor sau diversității biologice.</w:t>
            </w:r>
          </w:p>
          <w:p w14:paraId="7C8B5926" w14:textId="77777777" w:rsidR="00717027" w:rsidRPr="00E9358F" w:rsidRDefault="00717027" w:rsidP="00717027">
            <w:pPr>
              <w:rPr>
                <w:rFonts w:ascii="Times New Roman" w:eastAsiaTheme="majorEastAsia" w:hAnsi="Times New Roman" w:cs="Times New Roman"/>
                <w:bCs/>
                <w:sz w:val="24"/>
                <w:szCs w:val="24"/>
                <w:lang w:val="ro-RO"/>
              </w:rPr>
            </w:pPr>
            <w:r w:rsidRPr="00E9358F">
              <w:rPr>
                <w:rFonts w:ascii="Times New Roman" w:eastAsiaTheme="majorEastAsia" w:hAnsi="Times New Roman" w:cs="Times New Roman"/>
                <w:sz w:val="24"/>
                <w:szCs w:val="24"/>
                <w:lang w:val="ro-RO" w:eastAsia="en-US"/>
              </w:rPr>
              <w:t>Nu este cazul.</w:t>
            </w:r>
          </w:p>
        </w:tc>
      </w:tr>
      <w:tr w:rsidR="00717027" w:rsidRPr="00E9358F" w14:paraId="7156F9E9" w14:textId="77777777" w:rsidTr="00605DDE">
        <w:trPr>
          <w:jc w:val="center"/>
        </w:trPr>
        <w:tc>
          <w:tcPr>
            <w:tcW w:w="9493" w:type="dxa"/>
            <w:gridSpan w:val="7"/>
            <w:tcBorders>
              <w:bottom w:val="single" w:sz="4" w:space="0" w:color="auto"/>
            </w:tcBorders>
          </w:tcPr>
          <w:p w14:paraId="4958DE5A" w14:textId="77777777" w:rsidR="00717027" w:rsidRPr="00E9358F" w:rsidRDefault="00717027" w:rsidP="00717027">
            <w:pPr>
              <w:rPr>
                <w:rFonts w:ascii="Times New Roman" w:eastAsiaTheme="majorEastAsia" w:hAnsi="Times New Roman" w:cs="Times New Roman"/>
                <w:b/>
                <w:sz w:val="24"/>
                <w:szCs w:val="24"/>
                <w:lang w:val="ro-RO"/>
              </w:rPr>
            </w:pPr>
            <w:r w:rsidRPr="00E9358F">
              <w:rPr>
                <w:rFonts w:ascii="Times New Roman" w:eastAsiaTheme="majorEastAsia" w:hAnsi="Times New Roman" w:cs="Times New Roman"/>
                <w:sz w:val="24"/>
                <w:szCs w:val="24"/>
                <w:lang w:val="ro-RO" w:eastAsia="en-US"/>
              </w:rPr>
              <w:t>7.3 Alte informații</w:t>
            </w:r>
            <w:r w:rsidRPr="00E9358F">
              <w:rPr>
                <w:rFonts w:ascii="Times New Roman" w:eastAsiaTheme="majorEastAsia" w:hAnsi="Times New Roman" w:cs="Times New Roman"/>
                <w:b/>
                <w:sz w:val="24"/>
                <w:szCs w:val="24"/>
                <w:lang w:val="ro-RO" w:eastAsia="en-US"/>
              </w:rPr>
              <w:t xml:space="preserve">                    </w:t>
            </w:r>
          </w:p>
        </w:tc>
      </w:tr>
      <w:tr w:rsidR="00717027" w:rsidRPr="00CB7B6C" w14:paraId="5BDC9185" w14:textId="77777777" w:rsidTr="00605DDE">
        <w:trPr>
          <w:jc w:val="center"/>
        </w:trPr>
        <w:tc>
          <w:tcPr>
            <w:tcW w:w="9493" w:type="dxa"/>
            <w:gridSpan w:val="7"/>
            <w:tcBorders>
              <w:bottom w:val="single" w:sz="4" w:space="0" w:color="auto"/>
            </w:tcBorders>
          </w:tcPr>
          <w:p w14:paraId="30BE49F8" w14:textId="77777777" w:rsidR="00717027" w:rsidRPr="00E9358F" w:rsidRDefault="00717027" w:rsidP="00717027">
            <w:pPr>
              <w:jc w:val="center"/>
              <w:rPr>
                <w:rFonts w:ascii="Times New Roman" w:eastAsiaTheme="majorEastAsia" w:hAnsi="Times New Roman" w:cs="Times New Roman"/>
                <w:b/>
                <w:sz w:val="24"/>
                <w:szCs w:val="24"/>
                <w:lang w:val="ro-RO"/>
              </w:rPr>
            </w:pPr>
            <w:r w:rsidRPr="00E9358F">
              <w:rPr>
                <w:rFonts w:ascii="Times New Roman" w:eastAsiaTheme="majorEastAsia" w:hAnsi="Times New Roman" w:cs="Times New Roman"/>
                <w:b/>
                <w:sz w:val="24"/>
                <w:szCs w:val="24"/>
                <w:lang w:val="ro-RO"/>
              </w:rPr>
              <w:t>Secțiunea a 8-a:</w:t>
            </w:r>
          </w:p>
          <w:p w14:paraId="0F287F58" w14:textId="77777777" w:rsidR="00717027" w:rsidRPr="00E9358F" w:rsidRDefault="00717027" w:rsidP="00717027">
            <w:pPr>
              <w:jc w:val="cente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b/>
                <w:sz w:val="24"/>
                <w:szCs w:val="24"/>
                <w:lang w:val="ro-RO" w:eastAsia="en-US"/>
              </w:rPr>
              <w:t>Măsuri privind implementarea, monitorizarea și evaluarea</w:t>
            </w:r>
            <w:r w:rsidRPr="00E9358F">
              <w:rPr>
                <w:rFonts w:ascii="Times New Roman" w:hAnsi="Times New Roman" w:cs="Times New Roman"/>
                <w:b/>
                <w:sz w:val="24"/>
                <w:szCs w:val="24"/>
                <w:lang w:val="ro-RO"/>
              </w:rPr>
              <w:t xml:space="preserve"> </w:t>
            </w:r>
            <w:r w:rsidRPr="00E9358F">
              <w:rPr>
                <w:rFonts w:ascii="Times New Roman" w:eastAsiaTheme="majorEastAsia" w:hAnsi="Times New Roman" w:cs="Times New Roman"/>
                <w:b/>
                <w:sz w:val="24"/>
                <w:szCs w:val="24"/>
                <w:lang w:val="ro-RO" w:eastAsia="en-US"/>
              </w:rPr>
              <w:t>proiectului de act normativ</w:t>
            </w:r>
          </w:p>
          <w:p w14:paraId="1FAA1B0D" w14:textId="77777777" w:rsidR="00717027" w:rsidRPr="00E9358F" w:rsidRDefault="00717027" w:rsidP="00717027">
            <w:pPr>
              <w:rPr>
                <w:rFonts w:ascii="Times New Roman" w:eastAsiaTheme="majorEastAsia" w:hAnsi="Times New Roman" w:cs="Times New Roman"/>
                <w:sz w:val="24"/>
                <w:szCs w:val="24"/>
                <w:lang w:val="ro-RO" w:eastAsia="en-US"/>
              </w:rPr>
            </w:pPr>
          </w:p>
        </w:tc>
      </w:tr>
      <w:tr w:rsidR="00717027" w:rsidRPr="00CB7B6C" w14:paraId="38C2CA3E" w14:textId="77777777" w:rsidTr="00605DDE">
        <w:trPr>
          <w:jc w:val="center"/>
        </w:trPr>
        <w:tc>
          <w:tcPr>
            <w:tcW w:w="9493" w:type="dxa"/>
            <w:gridSpan w:val="7"/>
            <w:tcBorders>
              <w:top w:val="single" w:sz="4" w:space="0" w:color="auto"/>
            </w:tcBorders>
          </w:tcPr>
          <w:p w14:paraId="37C78651" w14:textId="77777777" w:rsidR="00717027" w:rsidRPr="00E9358F" w:rsidRDefault="00717027" w:rsidP="00717027">
            <w:pPr>
              <w:jc w:val="both"/>
              <w:rPr>
                <w:rFonts w:ascii="Times New Roman" w:hAnsi="Times New Roman" w:cs="Times New Roman"/>
                <w:sz w:val="24"/>
                <w:szCs w:val="24"/>
                <w:lang w:val="ro-RO"/>
              </w:rPr>
            </w:pPr>
            <w:r w:rsidRPr="00E9358F">
              <w:rPr>
                <w:rFonts w:ascii="Times New Roman" w:eastAsiaTheme="majorEastAsia" w:hAnsi="Times New Roman" w:cs="Times New Roman"/>
                <w:sz w:val="24"/>
                <w:szCs w:val="24"/>
                <w:lang w:val="ro-RO" w:eastAsia="en-US"/>
              </w:rPr>
              <w:lastRenderedPageBreak/>
              <w:t>8.1 Măsurile de punere în aplicare a proiectului de act normativ</w:t>
            </w:r>
            <w:r w:rsidRPr="00E9358F">
              <w:rPr>
                <w:rFonts w:ascii="Times New Roman" w:hAnsi="Times New Roman" w:cs="Times New Roman"/>
                <w:sz w:val="24"/>
                <w:szCs w:val="24"/>
                <w:lang w:val="ro-RO"/>
              </w:rPr>
              <w:t xml:space="preserve"> </w:t>
            </w:r>
          </w:p>
          <w:p w14:paraId="7C789396" w14:textId="58BE594B" w:rsidR="00717027" w:rsidRPr="00E9358F" w:rsidRDefault="00E54BFA" w:rsidP="00717027">
            <w:pPr>
              <w:jc w:val="both"/>
              <w:rPr>
                <w:rFonts w:ascii="Times New Roman" w:eastAsiaTheme="majorEastAsia" w:hAnsi="Times New Roman" w:cs="Times New Roman"/>
                <w:sz w:val="24"/>
                <w:szCs w:val="24"/>
                <w:lang w:val="ro-RO" w:eastAsia="en-US"/>
              </w:rPr>
            </w:pPr>
            <w:r>
              <w:rPr>
                <w:rFonts w:ascii="Times New Roman" w:hAnsi="Times New Roman" w:cs="Times New Roman"/>
                <w:sz w:val="24"/>
                <w:szCs w:val="24"/>
                <w:lang w:val="ro-RO"/>
              </w:rPr>
              <w:t xml:space="preserve">Actul normativ va fi pus în aplicare de </w:t>
            </w:r>
            <w:r w:rsidR="00B6710E" w:rsidRPr="00E9358F">
              <w:rPr>
                <w:rFonts w:ascii="Times New Roman" w:hAnsi="Times New Roman" w:cs="Times New Roman"/>
                <w:sz w:val="24"/>
                <w:szCs w:val="24"/>
                <w:lang w:val="ro-RO"/>
              </w:rPr>
              <w:t>Ministerului Economiei</w:t>
            </w:r>
            <w:r w:rsidR="00B6710E">
              <w:rPr>
                <w:rFonts w:ascii="Times New Roman" w:hAnsi="Times New Roman" w:cs="Times New Roman"/>
                <w:sz w:val="24"/>
                <w:szCs w:val="24"/>
                <w:lang w:val="ro-RO"/>
              </w:rPr>
              <w:t xml:space="preserve">, Digitalizării, </w:t>
            </w:r>
            <w:r w:rsidR="00B6710E" w:rsidRPr="00605DDE">
              <w:rPr>
                <w:rFonts w:ascii="Times New Roman" w:hAnsi="Times New Roman" w:cs="Times New Roman"/>
                <w:color w:val="000000"/>
                <w:sz w:val="24"/>
                <w:szCs w:val="24"/>
                <w:lang w:val="ro-RO"/>
              </w:rPr>
              <w:t>Antreprenoriatului și Turismului</w:t>
            </w:r>
          </w:p>
        </w:tc>
      </w:tr>
      <w:tr w:rsidR="00717027" w:rsidRPr="00CB7B6C" w14:paraId="64437864" w14:textId="77777777" w:rsidTr="00605DDE">
        <w:trPr>
          <w:jc w:val="center"/>
        </w:trPr>
        <w:tc>
          <w:tcPr>
            <w:tcW w:w="9493" w:type="dxa"/>
            <w:gridSpan w:val="7"/>
          </w:tcPr>
          <w:p w14:paraId="23D583F8" w14:textId="77777777" w:rsidR="00717027" w:rsidRPr="00E9358F" w:rsidRDefault="00717027" w:rsidP="00717027">
            <w:pPr>
              <w:rPr>
                <w:rFonts w:ascii="Times New Roman" w:eastAsiaTheme="majorEastAsia" w:hAnsi="Times New Roman" w:cs="Times New Roman"/>
                <w:b/>
                <w:sz w:val="24"/>
                <w:szCs w:val="24"/>
                <w:lang w:val="ro-RO" w:eastAsia="en-US"/>
              </w:rPr>
            </w:pPr>
            <w:r w:rsidRPr="00E9358F">
              <w:rPr>
                <w:rFonts w:ascii="Times New Roman" w:eastAsiaTheme="majorEastAsia" w:hAnsi="Times New Roman" w:cs="Times New Roman"/>
                <w:sz w:val="24"/>
                <w:szCs w:val="24"/>
                <w:lang w:val="ro-RO" w:eastAsia="en-US"/>
              </w:rPr>
              <w:t>8.2 Alte informații</w:t>
            </w:r>
            <w:r w:rsidRPr="00E9358F">
              <w:rPr>
                <w:rFonts w:ascii="Times New Roman" w:eastAsiaTheme="majorEastAsia" w:hAnsi="Times New Roman" w:cs="Times New Roman"/>
                <w:b/>
                <w:sz w:val="24"/>
                <w:szCs w:val="24"/>
                <w:lang w:val="ro-RO" w:eastAsia="en-US"/>
              </w:rPr>
              <w:t xml:space="preserve">                    </w:t>
            </w:r>
          </w:p>
          <w:p w14:paraId="51347398" w14:textId="77777777" w:rsidR="00717027" w:rsidRPr="00E9358F" w:rsidRDefault="00717027" w:rsidP="00717027">
            <w:pPr>
              <w:rPr>
                <w:rFonts w:ascii="Times New Roman" w:eastAsiaTheme="majorEastAsia" w:hAnsi="Times New Roman" w:cs="Times New Roman"/>
                <w:sz w:val="24"/>
                <w:szCs w:val="24"/>
                <w:lang w:val="ro-RO"/>
              </w:rPr>
            </w:pPr>
            <w:r w:rsidRPr="00E9358F">
              <w:rPr>
                <w:rFonts w:ascii="Times New Roman" w:eastAsiaTheme="majorEastAsia" w:hAnsi="Times New Roman" w:cs="Times New Roman"/>
                <w:sz w:val="24"/>
                <w:szCs w:val="24"/>
                <w:lang w:val="ro-RO" w:eastAsia="en-US"/>
              </w:rPr>
              <w:t>Nu este cazul</w:t>
            </w:r>
          </w:p>
        </w:tc>
      </w:tr>
    </w:tbl>
    <w:p w14:paraId="0B6E7CEE" w14:textId="77777777" w:rsidR="00B80ED4" w:rsidRPr="00E9358F" w:rsidRDefault="00F105DE" w:rsidP="00BB619F">
      <w:pPr>
        <w:spacing w:after="0" w:line="240" w:lineRule="auto"/>
        <w:rPr>
          <w:rFonts w:ascii="Times New Roman" w:eastAsiaTheme="majorEastAsia" w:hAnsi="Times New Roman" w:cs="Times New Roman"/>
          <w:bCs/>
          <w:sz w:val="24"/>
          <w:szCs w:val="24"/>
          <w:lang w:val="ro-RO" w:eastAsia="en-US"/>
        </w:rPr>
      </w:pPr>
      <w:r w:rsidRPr="00E9358F">
        <w:rPr>
          <w:rFonts w:ascii="Times New Roman" w:eastAsiaTheme="majorEastAsia" w:hAnsi="Times New Roman" w:cs="Times New Roman"/>
          <w:b/>
          <w:bCs/>
          <w:sz w:val="24"/>
          <w:szCs w:val="24"/>
          <w:lang w:val="ro-RO" w:eastAsia="en-US"/>
        </w:rPr>
        <w:t xml:space="preserve">                </w:t>
      </w:r>
    </w:p>
    <w:p w14:paraId="28BB7FD1" w14:textId="3A7104A6" w:rsidR="00466530" w:rsidRPr="00CB7B6C" w:rsidRDefault="00E54BFA" w:rsidP="00E12047">
      <w:pPr>
        <w:jc w:val="both"/>
        <w:rPr>
          <w:rFonts w:ascii="Times New Roman" w:hAnsi="Times New Roman" w:cs="Times New Roman"/>
          <w:sz w:val="24"/>
          <w:szCs w:val="24"/>
          <w:lang w:val="ro-RO"/>
        </w:rPr>
      </w:pPr>
      <w:r w:rsidRPr="009B07AE">
        <w:rPr>
          <w:rFonts w:ascii="Times New Roman" w:hAnsi="Times New Roman" w:cs="Times New Roman"/>
          <w:color w:val="000000"/>
          <w:sz w:val="24"/>
          <w:szCs w:val="24"/>
          <w:lang w:val="ro-RO"/>
        </w:rPr>
        <w:t>Față de cele prezentate mai sus, în temeiul art. 108 din Constituția României, republicată, şi al art. 24 din</w:t>
      </w:r>
      <w:r w:rsidRPr="009B07AE">
        <w:rPr>
          <w:rFonts w:ascii="Times New Roman" w:hAnsi="Times New Roman" w:cs="Times New Roman"/>
          <w:b/>
          <w:color w:val="000000"/>
          <w:sz w:val="24"/>
          <w:szCs w:val="24"/>
          <w:lang w:val="ro-RO"/>
        </w:rPr>
        <w:t xml:space="preserve"> </w:t>
      </w:r>
      <w:r w:rsidRPr="009B07AE">
        <w:rPr>
          <w:rFonts w:ascii="Times New Roman" w:hAnsi="Times New Roman" w:cs="Times New Roman"/>
          <w:color w:val="000000"/>
          <w:sz w:val="24"/>
          <w:szCs w:val="24"/>
          <w:lang w:val="ro-RO"/>
        </w:rPr>
        <w:t>Legea nr. 232/2016 privind industria națională de apărare, precum şi pentru modificarea şi completarea unor acte normative, cu modificările şi completările ulterioare s-a întocmit proiect</w:t>
      </w:r>
      <w:r w:rsidR="009B07AE" w:rsidRPr="009B07AE">
        <w:rPr>
          <w:rFonts w:ascii="Times New Roman" w:hAnsi="Times New Roman" w:cs="Times New Roman"/>
          <w:color w:val="000000"/>
          <w:sz w:val="24"/>
          <w:szCs w:val="24"/>
          <w:lang w:val="ro-RO"/>
        </w:rPr>
        <w:t>ul</w:t>
      </w:r>
      <w:r w:rsidRPr="009B07AE">
        <w:rPr>
          <w:rFonts w:ascii="Times New Roman" w:hAnsi="Times New Roman" w:cs="Times New Roman"/>
          <w:color w:val="000000"/>
          <w:sz w:val="24"/>
          <w:szCs w:val="24"/>
          <w:lang w:val="ro-RO"/>
        </w:rPr>
        <w:t xml:space="preserve"> de </w:t>
      </w:r>
      <w:r w:rsidRPr="00CB7B6C">
        <w:rPr>
          <w:rFonts w:ascii="Times New Roman" w:hAnsi="Times New Roman" w:cs="Times New Roman"/>
          <w:bCs/>
          <w:i/>
          <w:iCs/>
          <w:sz w:val="24"/>
          <w:szCs w:val="24"/>
          <w:lang w:val="ro-RO"/>
        </w:rPr>
        <w:t>Hotărâre a Guvernului privind aprobarea numărului mediu maxim de personal pe anul 202</w:t>
      </w:r>
      <w:r w:rsidR="00CB7B6C">
        <w:rPr>
          <w:rFonts w:ascii="Times New Roman" w:hAnsi="Times New Roman" w:cs="Times New Roman"/>
          <w:bCs/>
          <w:i/>
          <w:iCs/>
          <w:sz w:val="24"/>
          <w:szCs w:val="24"/>
          <w:lang w:val="ro-RO"/>
        </w:rPr>
        <w:t>6</w:t>
      </w:r>
      <w:r w:rsidRPr="00CB7B6C">
        <w:rPr>
          <w:rFonts w:ascii="Times New Roman" w:hAnsi="Times New Roman" w:cs="Times New Roman"/>
          <w:bCs/>
          <w:i/>
          <w:iCs/>
          <w:sz w:val="24"/>
          <w:szCs w:val="24"/>
          <w:lang w:val="ro-RO"/>
        </w:rPr>
        <w:t xml:space="preserve"> </w:t>
      </w:r>
      <w:r w:rsidRPr="009B07AE">
        <w:rPr>
          <w:rFonts w:ascii="Times New Roman" w:hAnsi="Times New Roman" w:cs="Times New Roman"/>
          <w:bCs/>
          <w:i/>
          <w:iCs/>
          <w:sz w:val="24"/>
          <w:szCs w:val="24"/>
          <w:lang w:val="it-IT"/>
        </w:rPr>
        <w:t>pentru operatorii economici din industria naţională de apărare care desfăşoară activităţi conform prevederilor art. 24 din Legea nr. 232/2016 privind industria naţională de apărare, precum şi pentru modificarea şi completarea unor acte normative</w:t>
      </w:r>
      <w:r w:rsidR="00E12047" w:rsidRPr="00CB7B6C">
        <w:rPr>
          <w:rFonts w:ascii="Times New Roman" w:hAnsi="Times New Roman" w:cs="Times New Roman"/>
          <w:i/>
          <w:iCs/>
          <w:sz w:val="24"/>
          <w:szCs w:val="24"/>
          <w:lang w:val="ro-RO"/>
        </w:rPr>
        <w:t xml:space="preserve">, </w:t>
      </w:r>
      <w:r w:rsidR="00317F2C" w:rsidRPr="00CB7B6C">
        <w:rPr>
          <w:rFonts w:ascii="Times New Roman" w:hAnsi="Times New Roman" w:cs="Times New Roman"/>
          <w:sz w:val="24"/>
          <w:szCs w:val="24"/>
          <w:lang w:val="ro-RO"/>
        </w:rPr>
        <w:t>pe care, dacă sunteți de acord, vă rugăm să</w:t>
      </w:r>
      <w:r w:rsidR="00B95651" w:rsidRPr="00CB7B6C">
        <w:rPr>
          <w:rFonts w:ascii="Times New Roman" w:hAnsi="Times New Roman" w:cs="Times New Roman"/>
          <w:sz w:val="24"/>
          <w:szCs w:val="24"/>
          <w:lang w:val="ro-RO"/>
        </w:rPr>
        <w:t>-</w:t>
      </w:r>
      <w:r w:rsidR="00812F94" w:rsidRPr="00CB7B6C">
        <w:rPr>
          <w:rFonts w:ascii="Times New Roman" w:hAnsi="Times New Roman" w:cs="Times New Roman"/>
          <w:sz w:val="24"/>
          <w:szCs w:val="24"/>
          <w:lang w:val="ro-RO"/>
        </w:rPr>
        <w:t>l</w:t>
      </w:r>
      <w:r w:rsidR="00317F2C" w:rsidRPr="00CB7B6C">
        <w:rPr>
          <w:rFonts w:ascii="Times New Roman" w:hAnsi="Times New Roman" w:cs="Times New Roman"/>
          <w:sz w:val="24"/>
          <w:szCs w:val="24"/>
          <w:lang w:val="ro-RO"/>
        </w:rPr>
        <w:t xml:space="preserve"> a</w:t>
      </w:r>
      <w:r w:rsidR="009B07AE" w:rsidRPr="00CB7B6C">
        <w:rPr>
          <w:rFonts w:ascii="Times New Roman" w:hAnsi="Times New Roman" w:cs="Times New Roman"/>
          <w:sz w:val="24"/>
          <w:szCs w:val="24"/>
          <w:lang w:val="ro-RO"/>
        </w:rPr>
        <w:t>pr</w:t>
      </w:r>
      <w:r w:rsidR="00960B5E" w:rsidRPr="00CB7B6C">
        <w:rPr>
          <w:rFonts w:ascii="Times New Roman" w:hAnsi="Times New Roman" w:cs="Times New Roman"/>
          <w:sz w:val="24"/>
          <w:szCs w:val="24"/>
          <w:lang w:val="ro-RO"/>
        </w:rPr>
        <w:t>o</w:t>
      </w:r>
      <w:r w:rsidR="009B07AE" w:rsidRPr="00CB7B6C">
        <w:rPr>
          <w:rFonts w:ascii="Times New Roman" w:hAnsi="Times New Roman" w:cs="Times New Roman"/>
          <w:sz w:val="24"/>
          <w:szCs w:val="24"/>
          <w:lang w:val="ro-RO"/>
        </w:rPr>
        <w:t>b</w:t>
      </w:r>
      <w:r w:rsidR="00960B5E" w:rsidRPr="00CB7B6C">
        <w:rPr>
          <w:rFonts w:ascii="Times New Roman" w:hAnsi="Times New Roman" w:cs="Times New Roman"/>
          <w:sz w:val="24"/>
          <w:szCs w:val="24"/>
          <w:lang w:val="ro-RO"/>
        </w:rPr>
        <w:t>a</w:t>
      </w:r>
      <w:r w:rsidR="00317F2C" w:rsidRPr="00CB7B6C">
        <w:rPr>
          <w:rFonts w:ascii="Times New Roman" w:hAnsi="Times New Roman" w:cs="Times New Roman"/>
          <w:sz w:val="24"/>
          <w:szCs w:val="24"/>
          <w:lang w:val="ro-RO"/>
        </w:rPr>
        <w:t>ți.</w:t>
      </w:r>
    </w:p>
    <w:p w14:paraId="3091B263" w14:textId="77777777" w:rsidR="006801E3" w:rsidRPr="00CB7B6C" w:rsidRDefault="006801E3" w:rsidP="00E12047">
      <w:pPr>
        <w:jc w:val="both"/>
        <w:rPr>
          <w:rFonts w:ascii="Times New Roman" w:hAnsi="Times New Roman" w:cs="Times New Roman"/>
          <w:sz w:val="24"/>
          <w:szCs w:val="24"/>
          <w:lang w:val="ro-RO"/>
        </w:rPr>
      </w:pPr>
    </w:p>
    <w:p w14:paraId="720748F8" w14:textId="6C1FCE7B" w:rsidR="004A1965" w:rsidRPr="00750CF3" w:rsidRDefault="004A1965" w:rsidP="00750CF3">
      <w:pPr>
        <w:spacing w:after="0" w:line="480" w:lineRule="auto"/>
        <w:jc w:val="center"/>
        <w:rPr>
          <w:rFonts w:ascii="Times New Roman" w:hAnsi="Times New Roman" w:cs="Times New Roman"/>
          <w:b/>
          <w:bCs/>
          <w:color w:val="000000"/>
          <w:sz w:val="24"/>
          <w:szCs w:val="24"/>
          <w:lang w:val="ro-RO"/>
        </w:rPr>
      </w:pPr>
      <w:r w:rsidRPr="00750CF3">
        <w:rPr>
          <w:rFonts w:ascii="Times New Roman" w:hAnsi="Times New Roman" w:cs="Times New Roman"/>
          <w:b/>
          <w:color w:val="000000"/>
          <w:sz w:val="24"/>
          <w:szCs w:val="24"/>
          <w:lang w:val="ro-RO"/>
        </w:rPr>
        <w:t xml:space="preserve">MINISTRUL </w:t>
      </w:r>
      <w:r w:rsidR="00B6710E" w:rsidRPr="00750CF3">
        <w:rPr>
          <w:rFonts w:ascii="Times New Roman" w:hAnsi="Times New Roman" w:cs="Times New Roman"/>
          <w:b/>
          <w:color w:val="000000"/>
          <w:sz w:val="24"/>
          <w:szCs w:val="24"/>
          <w:lang w:val="ro-RO"/>
        </w:rPr>
        <w:t>ECONOMIEI, DIGITALIZĂRII, ANTREPRENORIATULUI ȘI TURISMULUI</w:t>
      </w:r>
    </w:p>
    <w:p w14:paraId="47BED2A9" w14:textId="0A847499" w:rsidR="004A1965" w:rsidRPr="00CB7B6C" w:rsidRDefault="00CF53B6" w:rsidP="000C4B20">
      <w:pPr>
        <w:jc w:val="center"/>
        <w:rPr>
          <w:rFonts w:ascii="Times New Roman" w:hAnsi="Times New Roman" w:cs="Times New Roman"/>
          <w:b/>
          <w:bCs/>
          <w:color w:val="000000"/>
          <w:sz w:val="24"/>
          <w:szCs w:val="24"/>
          <w:lang w:val="pt-BR"/>
        </w:rPr>
      </w:pPr>
      <w:r w:rsidRPr="00CB7B6C">
        <w:rPr>
          <w:rFonts w:ascii="Times New Roman" w:hAnsi="Times New Roman" w:cs="Times New Roman"/>
          <w:b/>
          <w:bCs/>
          <w:color w:val="000000"/>
          <w:sz w:val="24"/>
          <w:szCs w:val="24"/>
          <w:lang w:val="pt-BR"/>
        </w:rPr>
        <w:t>Ambrozie-Irineu DARĂU</w:t>
      </w:r>
    </w:p>
    <w:p w14:paraId="041E58F1" w14:textId="77777777" w:rsidR="00CF53B6" w:rsidRPr="00CB7B6C" w:rsidRDefault="00CF53B6" w:rsidP="000C4B20">
      <w:pPr>
        <w:jc w:val="center"/>
        <w:rPr>
          <w:rFonts w:ascii="Times New Roman" w:hAnsi="Times New Roman" w:cs="Times New Roman"/>
          <w:b/>
          <w:bCs/>
          <w:color w:val="000000"/>
          <w:sz w:val="24"/>
          <w:szCs w:val="24"/>
          <w:lang w:val="pt-BR"/>
        </w:rPr>
      </w:pPr>
    </w:p>
    <w:p w14:paraId="06B7766A" w14:textId="77777777" w:rsidR="00CF53B6" w:rsidRPr="00CB7B6C" w:rsidRDefault="00CF53B6" w:rsidP="000C4B20">
      <w:pPr>
        <w:jc w:val="center"/>
        <w:rPr>
          <w:rFonts w:ascii="Times New Roman" w:hAnsi="Times New Roman" w:cs="Times New Roman"/>
          <w:b/>
          <w:sz w:val="24"/>
          <w:szCs w:val="24"/>
          <w:u w:val="single"/>
          <w:lang w:val="pt-BR"/>
        </w:rPr>
      </w:pPr>
    </w:p>
    <w:p w14:paraId="7EA48A43" w14:textId="0E471E64" w:rsidR="004A1965" w:rsidRPr="00CB7B6C" w:rsidRDefault="00750CF3" w:rsidP="000C4B20">
      <w:pPr>
        <w:jc w:val="center"/>
        <w:rPr>
          <w:rFonts w:ascii="Times New Roman" w:hAnsi="Times New Roman" w:cs="Times New Roman"/>
          <w:b/>
          <w:sz w:val="24"/>
          <w:szCs w:val="24"/>
          <w:u w:val="single"/>
          <w:lang w:val="pt-BR"/>
        </w:rPr>
      </w:pPr>
      <w:r w:rsidRPr="00CB7B6C">
        <w:rPr>
          <w:rFonts w:ascii="Times New Roman" w:hAnsi="Times New Roman" w:cs="Times New Roman"/>
          <w:b/>
          <w:sz w:val="24"/>
          <w:szCs w:val="24"/>
          <w:u w:val="single"/>
          <w:lang w:val="pt-BR"/>
        </w:rPr>
        <w:t>AVIZĂM FAVORABIL:</w:t>
      </w:r>
    </w:p>
    <w:p w14:paraId="3329DCCF" w14:textId="77777777" w:rsidR="00CB7B6C" w:rsidRDefault="00CB7B6C" w:rsidP="00CB7B6C">
      <w:pPr>
        <w:spacing w:line="360" w:lineRule="auto"/>
        <w:jc w:val="center"/>
        <w:rPr>
          <w:rFonts w:ascii="Times New Roman" w:hAnsi="Times New Roman" w:cs="Times New Roman"/>
          <w:b/>
          <w:bCs/>
          <w:sz w:val="24"/>
          <w:szCs w:val="24"/>
          <w:lang w:val="ro-RO"/>
        </w:rPr>
      </w:pPr>
      <w:r w:rsidRPr="00CB7B6C">
        <w:rPr>
          <w:rFonts w:ascii="Times New Roman" w:hAnsi="Times New Roman" w:cs="Times New Roman"/>
          <w:b/>
          <w:bCs/>
          <w:sz w:val="24"/>
          <w:szCs w:val="24"/>
          <w:lang w:val="ro-RO"/>
        </w:rPr>
        <w:t xml:space="preserve">VICEPRIM-MINISTRU, </w:t>
      </w:r>
    </w:p>
    <w:p w14:paraId="2A80DA6C" w14:textId="7943A550" w:rsidR="00CB7B6C" w:rsidRDefault="00CB7B6C" w:rsidP="00CB7B6C">
      <w:pPr>
        <w:spacing w:line="360" w:lineRule="auto"/>
        <w:jc w:val="center"/>
        <w:rPr>
          <w:rFonts w:ascii="Times New Roman" w:hAnsi="Times New Roman" w:cs="Times New Roman"/>
          <w:b/>
          <w:bCs/>
          <w:sz w:val="24"/>
          <w:szCs w:val="24"/>
          <w:lang w:val="ro-RO"/>
        </w:rPr>
      </w:pPr>
      <w:r w:rsidRPr="00CB7B6C">
        <w:rPr>
          <w:rFonts w:ascii="Times New Roman" w:hAnsi="Times New Roman" w:cs="Times New Roman"/>
          <w:b/>
          <w:bCs/>
          <w:sz w:val="24"/>
          <w:szCs w:val="24"/>
          <w:lang w:val="ro-RO"/>
        </w:rPr>
        <w:t>MINISTRUL APĂRĂRII NAȚIONALE,</w:t>
      </w:r>
    </w:p>
    <w:p w14:paraId="6E57634C" w14:textId="54025A00" w:rsidR="00CB7B6C" w:rsidRPr="00CB7B6C" w:rsidRDefault="00CB7B6C" w:rsidP="00CB7B6C">
      <w:pPr>
        <w:spacing w:line="360" w:lineRule="auto"/>
        <w:jc w:val="center"/>
        <w:rPr>
          <w:rFonts w:ascii="Times New Roman" w:hAnsi="Times New Roman" w:cs="Times New Roman"/>
          <w:b/>
          <w:bCs/>
          <w:sz w:val="24"/>
          <w:szCs w:val="24"/>
          <w:lang w:val="ro-RO"/>
        </w:rPr>
      </w:pPr>
      <w:r w:rsidRPr="00CB7B6C">
        <w:rPr>
          <w:rFonts w:ascii="Times New Roman" w:hAnsi="Times New Roman" w:cs="Times New Roman"/>
          <w:b/>
          <w:bCs/>
          <w:sz w:val="24"/>
          <w:szCs w:val="24"/>
          <w:lang w:val="ro-RO"/>
        </w:rPr>
        <w:t xml:space="preserve"> RADU-DINEL MIRUȚĂ</w:t>
      </w:r>
    </w:p>
    <w:p w14:paraId="35A0AE90" w14:textId="77777777" w:rsidR="00CB7B6C" w:rsidRPr="00750CF3" w:rsidRDefault="00CB7B6C" w:rsidP="00CB7B6C">
      <w:pPr>
        <w:spacing w:line="360" w:lineRule="auto"/>
        <w:jc w:val="center"/>
        <w:rPr>
          <w:rFonts w:ascii="Times New Roman" w:hAnsi="Times New Roman" w:cs="Times New Roman"/>
          <w:b/>
          <w:bCs/>
          <w:sz w:val="24"/>
          <w:szCs w:val="24"/>
          <w:highlight w:val="yellow"/>
          <w:lang w:val="ro-RO"/>
        </w:rPr>
      </w:pPr>
    </w:p>
    <w:p w14:paraId="58695FF9" w14:textId="77777777" w:rsidR="00CB7B6C" w:rsidRDefault="00CB7B6C" w:rsidP="00CB7B6C">
      <w:pPr>
        <w:spacing w:after="0" w:line="360" w:lineRule="auto"/>
        <w:jc w:val="center"/>
        <w:rPr>
          <w:rFonts w:ascii="Times New Roman" w:hAnsi="Times New Roman" w:cs="Times New Roman"/>
          <w:b/>
          <w:color w:val="000000"/>
          <w:sz w:val="24"/>
          <w:szCs w:val="24"/>
          <w:lang w:val="ro-RO"/>
        </w:rPr>
      </w:pPr>
      <w:r w:rsidRPr="00750CF3">
        <w:rPr>
          <w:rFonts w:ascii="Times New Roman" w:hAnsi="Times New Roman" w:cs="Times New Roman"/>
          <w:b/>
          <w:color w:val="000000"/>
          <w:sz w:val="24"/>
          <w:szCs w:val="24"/>
          <w:lang w:val="ro-RO"/>
        </w:rPr>
        <w:t>MINISTRUL MUNCII, FAMILIEI, TINERETULUI ŞI SOLIDARITĂȚII SOCIALE,</w:t>
      </w:r>
    </w:p>
    <w:p w14:paraId="5D93C2A6" w14:textId="77777777" w:rsidR="00CB7B6C" w:rsidRPr="00750CF3" w:rsidRDefault="00CB7B6C" w:rsidP="00CB7B6C">
      <w:pPr>
        <w:spacing w:after="0" w:line="360" w:lineRule="auto"/>
        <w:jc w:val="cente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INTERIMAR</w:t>
      </w:r>
    </w:p>
    <w:p w14:paraId="089F496D" w14:textId="77777777" w:rsidR="00CB7B6C" w:rsidRDefault="00CB7B6C" w:rsidP="00CB7B6C">
      <w:pPr>
        <w:spacing w:line="360" w:lineRule="auto"/>
        <w:jc w:val="center"/>
        <w:rPr>
          <w:rFonts w:ascii="Times New Roman" w:hAnsi="Times New Roman" w:cs="Times New Roman"/>
          <w:b/>
          <w:color w:val="000000"/>
          <w:sz w:val="24"/>
          <w:szCs w:val="24"/>
          <w:lang w:val="pt-BR"/>
        </w:rPr>
      </w:pPr>
      <w:r w:rsidRPr="00CB7B6C">
        <w:rPr>
          <w:rFonts w:ascii="Times New Roman" w:hAnsi="Times New Roman" w:cs="Times New Roman"/>
          <w:b/>
          <w:color w:val="000000"/>
          <w:sz w:val="24"/>
          <w:szCs w:val="24"/>
          <w:lang w:val="pt-BR"/>
        </w:rPr>
        <w:t>Dragoș-Nicolae PÎSLARU</w:t>
      </w:r>
    </w:p>
    <w:p w14:paraId="1B0C47E0" w14:textId="77777777" w:rsidR="00CB7B6C" w:rsidRPr="00750CF3" w:rsidRDefault="00CB7B6C" w:rsidP="00CB7B6C">
      <w:pPr>
        <w:spacing w:line="360" w:lineRule="auto"/>
        <w:jc w:val="center"/>
        <w:rPr>
          <w:rFonts w:ascii="Times New Roman" w:hAnsi="Times New Roman" w:cs="Times New Roman"/>
          <w:b/>
          <w:color w:val="000000"/>
          <w:sz w:val="24"/>
          <w:szCs w:val="24"/>
          <w:lang w:val="ro-RO"/>
        </w:rPr>
      </w:pPr>
    </w:p>
    <w:p w14:paraId="43DDA24F" w14:textId="00A9BC0C" w:rsidR="000C4B20" w:rsidRPr="00750CF3" w:rsidRDefault="004A1965" w:rsidP="00750CF3">
      <w:pPr>
        <w:spacing w:after="0" w:line="360" w:lineRule="auto"/>
        <w:jc w:val="center"/>
        <w:rPr>
          <w:rFonts w:ascii="Times New Roman" w:hAnsi="Times New Roman" w:cs="Times New Roman"/>
          <w:b/>
          <w:sz w:val="24"/>
          <w:szCs w:val="24"/>
          <w:lang w:val="ro-RO"/>
        </w:rPr>
      </w:pPr>
      <w:r w:rsidRPr="00750CF3">
        <w:rPr>
          <w:rFonts w:ascii="Times New Roman" w:hAnsi="Times New Roman" w:cs="Times New Roman"/>
          <w:b/>
          <w:sz w:val="24"/>
          <w:szCs w:val="24"/>
          <w:lang w:val="ro-RO"/>
        </w:rPr>
        <w:t>MINISTRUL FINANŢELOR</w:t>
      </w:r>
      <w:r w:rsidR="000C4B20" w:rsidRPr="00750CF3">
        <w:rPr>
          <w:rFonts w:ascii="Times New Roman" w:hAnsi="Times New Roman" w:cs="Times New Roman"/>
          <w:b/>
          <w:sz w:val="24"/>
          <w:szCs w:val="24"/>
          <w:lang w:val="ro-RO"/>
        </w:rPr>
        <w:t>,</w:t>
      </w:r>
    </w:p>
    <w:p w14:paraId="1627779F" w14:textId="121828B0" w:rsidR="004A1965" w:rsidRPr="00750CF3" w:rsidRDefault="00CF53B6" w:rsidP="00750CF3">
      <w:pPr>
        <w:spacing w:line="360" w:lineRule="auto"/>
        <w:jc w:val="center"/>
        <w:rPr>
          <w:rFonts w:ascii="Times New Roman" w:hAnsi="Times New Roman" w:cs="Times New Roman"/>
          <w:b/>
          <w:sz w:val="24"/>
          <w:szCs w:val="24"/>
          <w:lang w:val="ro-RO"/>
        </w:rPr>
      </w:pPr>
      <w:r w:rsidRPr="00CB7B6C">
        <w:rPr>
          <w:rFonts w:ascii="Times New Roman" w:hAnsi="Times New Roman" w:cs="Times New Roman"/>
          <w:b/>
          <w:sz w:val="24"/>
          <w:szCs w:val="24"/>
          <w:lang w:val="pt-BR"/>
        </w:rPr>
        <w:t>Alexandru NAZARE</w:t>
      </w:r>
    </w:p>
    <w:p w14:paraId="68F7B52E" w14:textId="77777777" w:rsidR="00750CF3" w:rsidRPr="00750CF3" w:rsidRDefault="00750CF3" w:rsidP="00750CF3">
      <w:pPr>
        <w:spacing w:line="360" w:lineRule="auto"/>
        <w:jc w:val="center"/>
        <w:rPr>
          <w:rFonts w:ascii="Times New Roman" w:hAnsi="Times New Roman" w:cs="Times New Roman"/>
          <w:b/>
          <w:color w:val="000000"/>
          <w:sz w:val="24"/>
          <w:szCs w:val="24"/>
          <w:highlight w:val="yellow"/>
          <w:lang w:val="ro-RO"/>
        </w:rPr>
      </w:pPr>
    </w:p>
    <w:p w14:paraId="4BE0D107" w14:textId="77777777" w:rsidR="000C4B20" w:rsidRDefault="004A1965" w:rsidP="00750CF3">
      <w:pPr>
        <w:spacing w:after="0" w:line="360" w:lineRule="auto"/>
        <w:jc w:val="center"/>
        <w:rPr>
          <w:rFonts w:ascii="Times New Roman" w:hAnsi="Times New Roman" w:cs="Times New Roman"/>
          <w:b/>
          <w:color w:val="000000"/>
          <w:sz w:val="24"/>
          <w:szCs w:val="24"/>
          <w:lang w:val="ro-RO"/>
        </w:rPr>
      </w:pPr>
      <w:r w:rsidRPr="00750CF3">
        <w:rPr>
          <w:rFonts w:ascii="Times New Roman" w:hAnsi="Times New Roman" w:cs="Times New Roman"/>
          <w:b/>
          <w:color w:val="000000"/>
          <w:sz w:val="24"/>
          <w:szCs w:val="24"/>
          <w:lang w:val="ro-RO"/>
        </w:rPr>
        <w:t>MINISTRUL JUSTIȚIEI</w:t>
      </w:r>
      <w:r w:rsidR="000C4B20" w:rsidRPr="00750CF3">
        <w:rPr>
          <w:rFonts w:ascii="Times New Roman" w:hAnsi="Times New Roman" w:cs="Times New Roman"/>
          <w:b/>
          <w:color w:val="000000"/>
          <w:sz w:val="24"/>
          <w:szCs w:val="24"/>
          <w:lang w:val="ro-RO"/>
        </w:rPr>
        <w:t>,</w:t>
      </w:r>
    </w:p>
    <w:p w14:paraId="7FEBB1F1" w14:textId="00948522" w:rsidR="00750CF3" w:rsidRPr="00750CF3" w:rsidRDefault="00750CF3" w:rsidP="00750CF3">
      <w:pPr>
        <w:spacing w:after="0" w:line="360" w:lineRule="auto"/>
        <w:jc w:val="cente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INTERIMAR</w:t>
      </w:r>
    </w:p>
    <w:p w14:paraId="72661228" w14:textId="44934E81" w:rsidR="0012779D" w:rsidRPr="00750CF3" w:rsidRDefault="002A6CC8" w:rsidP="00750CF3">
      <w:pPr>
        <w:spacing w:line="360" w:lineRule="auto"/>
        <w:jc w:val="center"/>
        <w:rPr>
          <w:rFonts w:ascii="Times New Roman" w:hAnsi="Times New Roman" w:cs="Times New Roman"/>
          <w:b/>
          <w:color w:val="000000"/>
          <w:sz w:val="24"/>
          <w:szCs w:val="24"/>
          <w:lang w:val="ro-RO"/>
        </w:rPr>
      </w:pPr>
      <w:r w:rsidRPr="00750CF3">
        <w:rPr>
          <w:rFonts w:ascii="Times New Roman" w:hAnsi="Times New Roman" w:cs="Times New Roman"/>
          <w:b/>
          <w:color w:val="000000"/>
          <w:sz w:val="24"/>
          <w:szCs w:val="24"/>
        </w:rPr>
        <w:t xml:space="preserve">Marian-Cătălin </w:t>
      </w:r>
      <w:r w:rsidR="00CF53B6" w:rsidRPr="00750CF3">
        <w:rPr>
          <w:rFonts w:ascii="Times New Roman" w:hAnsi="Times New Roman" w:cs="Times New Roman"/>
          <w:b/>
          <w:color w:val="000000"/>
          <w:sz w:val="24"/>
          <w:szCs w:val="24"/>
        </w:rPr>
        <w:t>PREDOIU</w:t>
      </w:r>
    </w:p>
    <w:sectPr w:rsidR="0012779D" w:rsidRPr="00750CF3" w:rsidSect="00E00D66">
      <w:foot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CA33" w14:textId="77777777" w:rsidR="00F23282" w:rsidRDefault="00F23282" w:rsidP="00AA7BA4">
      <w:pPr>
        <w:spacing w:after="0" w:line="240" w:lineRule="auto"/>
      </w:pPr>
      <w:r>
        <w:separator/>
      </w:r>
    </w:p>
  </w:endnote>
  <w:endnote w:type="continuationSeparator" w:id="0">
    <w:p w14:paraId="42A79DC0" w14:textId="77777777" w:rsidR="00F23282" w:rsidRDefault="00F23282"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79342"/>
      <w:docPartObj>
        <w:docPartGallery w:val="Page Numbers (Bottom of Page)"/>
        <w:docPartUnique/>
      </w:docPartObj>
    </w:sdtPr>
    <w:sdtEndPr>
      <w:rPr>
        <w:noProof/>
      </w:rPr>
    </w:sdtEndPr>
    <w:sdtContent>
      <w:p w14:paraId="1B5E1A29" w14:textId="77777777" w:rsidR="00AA7BA4" w:rsidRDefault="00AA7BA4">
        <w:pPr>
          <w:pStyle w:val="Footer"/>
          <w:jc w:val="right"/>
        </w:pPr>
        <w:r>
          <w:fldChar w:fldCharType="begin"/>
        </w:r>
        <w:r>
          <w:instrText xml:space="preserve"> PAGE   \* MERGEFORMAT </w:instrText>
        </w:r>
        <w:r>
          <w:fldChar w:fldCharType="separate"/>
        </w:r>
        <w:r w:rsidR="00FA116E">
          <w:rPr>
            <w:noProof/>
          </w:rPr>
          <w:t>4</w:t>
        </w:r>
        <w:r>
          <w:rPr>
            <w:noProof/>
          </w:rPr>
          <w:fldChar w:fldCharType="end"/>
        </w:r>
      </w:p>
    </w:sdtContent>
  </w:sdt>
  <w:p w14:paraId="041E4547" w14:textId="77777777" w:rsidR="00AA7BA4" w:rsidRDefault="00AA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A2B5" w14:textId="77777777" w:rsidR="00F23282" w:rsidRDefault="00F23282" w:rsidP="00AA7BA4">
      <w:pPr>
        <w:spacing w:after="0" w:line="240" w:lineRule="auto"/>
      </w:pPr>
      <w:r>
        <w:separator/>
      </w:r>
    </w:p>
  </w:footnote>
  <w:footnote w:type="continuationSeparator" w:id="0">
    <w:p w14:paraId="4541B939" w14:textId="77777777" w:rsidR="00F23282" w:rsidRDefault="00F23282"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02FC0"/>
    <w:multiLevelType w:val="hybridMultilevel"/>
    <w:tmpl w:val="3A7C3154"/>
    <w:lvl w:ilvl="0" w:tplc="3ACCF4A0">
      <w:start w:val="1"/>
      <w:numFmt w:val="lowerLetter"/>
      <w:lvlText w:val="%1)"/>
      <w:lvlJc w:val="left"/>
      <w:pPr>
        <w:ind w:left="1095" w:hanging="37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163CB"/>
    <w:multiLevelType w:val="hybridMultilevel"/>
    <w:tmpl w:val="5A0E47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FF41E91"/>
    <w:multiLevelType w:val="hybridMultilevel"/>
    <w:tmpl w:val="D338B482"/>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5606DEF"/>
    <w:multiLevelType w:val="hybridMultilevel"/>
    <w:tmpl w:val="DEA4D05A"/>
    <w:lvl w:ilvl="0" w:tplc="A3F68A9A">
      <w:start w:val="1"/>
      <w:numFmt w:val="lowerLetter"/>
      <w:lvlText w:val="%1)"/>
      <w:lvlJc w:val="left"/>
      <w:pPr>
        <w:ind w:left="720" w:hanging="360"/>
      </w:pPr>
      <w:rPr>
        <w:rFonts w:cs="Times New Roman"/>
        <w:b/>
        <w:i w:val="0"/>
        <w:sz w:val="24"/>
      </w:rPr>
    </w:lvl>
    <w:lvl w:ilvl="1" w:tplc="2E3AD21E">
      <w:numFmt w:val="bullet"/>
      <w:lvlText w:val="-"/>
      <w:lvlJc w:val="left"/>
      <w:pPr>
        <w:ind w:left="1440" w:hanging="360"/>
      </w:pPr>
      <w:rPr>
        <w:rFonts w:ascii="Times New Roman" w:eastAsia="Times New Roman" w:hAnsi="Times New Roman"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CBD455A"/>
    <w:multiLevelType w:val="hybridMultilevel"/>
    <w:tmpl w:val="858E0404"/>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0"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2FC0BE9"/>
    <w:multiLevelType w:val="multilevel"/>
    <w:tmpl w:val="44085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476FE"/>
    <w:multiLevelType w:val="multilevel"/>
    <w:tmpl w:val="FFFFFFFF"/>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57427205">
    <w:abstractNumId w:val="22"/>
  </w:num>
  <w:num w:numId="2" w16cid:durableId="1377657363">
    <w:abstractNumId w:val="16"/>
  </w:num>
  <w:num w:numId="3" w16cid:durableId="1047488587">
    <w:abstractNumId w:val="18"/>
  </w:num>
  <w:num w:numId="4" w16cid:durableId="1154101556">
    <w:abstractNumId w:val="11"/>
  </w:num>
  <w:num w:numId="5" w16cid:durableId="980034145">
    <w:abstractNumId w:val="8"/>
  </w:num>
  <w:num w:numId="6" w16cid:durableId="1692687009">
    <w:abstractNumId w:val="23"/>
  </w:num>
  <w:num w:numId="7" w16cid:durableId="1597327500">
    <w:abstractNumId w:val="20"/>
  </w:num>
  <w:num w:numId="8" w16cid:durableId="374622298">
    <w:abstractNumId w:val="5"/>
  </w:num>
  <w:num w:numId="9" w16cid:durableId="859899940">
    <w:abstractNumId w:val="7"/>
  </w:num>
  <w:num w:numId="10" w16cid:durableId="2114596030">
    <w:abstractNumId w:val="10"/>
  </w:num>
  <w:num w:numId="11" w16cid:durableId="1343169918">
    <w:abstractNumId w:val="1"/>
  </w:num>
  <w:num w:numId="12" w16cid:durableId="1519390365">
    <w:abstractNumId w:val="17"/>
  </w:num>
  <w:num w:numId="13" w16cid:durableId="1165781033">
    <w:abstractNumId w:val="21"/>
  </w:num>
  <w:num w:numId="14" w16cid:durableId="491262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03660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1448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689116">
    <w:abstractNumId w:val="26"/>
  </w:num>
  <w:num w:numId="18" w16cid:durableId="239601019">
    <w:abstractNumId w:val="24"/>
  </w:num>
  <w:num w:numId="19" w16cid:durableId="2048875534">
    <w:abstractNumId w:val="14"/>
  </w:num>
  <w:num w:numId="20" w16cid:durableId="1701204444">
    <w:abstractNumId w:val="6"/>
  </w:num>
  <w:num w:numId="21" w16cid:durableId="121971329">
    <w:abstractNumId w:val="25"/>
  </w:num>
  <w:num w:numId="22" w16cid:durableId="1103379968">
    <w:abstractNumId w:val="27"/>
  </w:num>
  <w:num w:numId="23" w16cid:durableId="1346975302">
    <w:abstractNumId w:val="2"/>
  </w:num>
  <w:num w:numId="24" w16cid:durableId="672411748">
    <w:abstractNumId w:val="28"/>
  </w:num>
  <w:num w:numId="25" w16cid:durableId="106043409">
    <w:abstractNumId w:val="19"/>
  </w:num>
  <w:num w:numId="26" w16cid:durableId="1758404756">
    <w:abstractNumId w:val="0"/>
  </w:num>
  <w:num w:numId="27" w16cid:durableId="574778678">
    <w:abstractNumId w:val="9"/>
  </w:num>
  <w:num w:numId="28" w16cid:durableId="1087262071">
    <w:abstractNumId w:val="12"/>
  </w:num>
  <w:num w:numId="29" w16cid:durableId="173499523">
    <w:abstractNumId w:val="4"/>
  </w:num>
  <w:num w:numId="30" w16cid:durableId="2054577868">
    <w:abstractNumId w:val="15"/>
    <w:lvlOverride w:ilvl="0">
      <w:startOverride w:val="1"/>
    </w:lvlOverride>
    <w:lvlOverride w:ilvl="1"/>
    <w:lvlOverride w:ilvl="2"/>
    <w:lvlOverride w:ilvl="3"/>
    <w:lvlOverride w:ilvl="4"/>
    <w:lvlOverride w:ilvl="5"/>
    <w:lvlOverride w:ilvl="6"/>
    <w:lvlOverride w:ilvl="7"/>
    <w:lvlOverride w:ilvl="8"/>
  </w:num>
  <w:num w:numId="31" w16cid:durableId="50235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17F3"/>
    <w:rsid w:val="00004D9A"/>
    <w:rsid w:val="00020D2D"/>
    <w:rsid w:val="00023774"/>
    <w:rsid w:val="00027821"/>
    <w:rsid w:val="0005606A"/>
    <w:rsid w:val="000768A7"/>
    <w:rsid w:val="0008230D"/>
    <w:rsid w:val="00082388"/>
    <w:rsid w:val="00085D1B"/>
    <w:rsid w:val="00087CAC"/>
    <w:rsid w:val="000965D1"/>
    <w:rsid w:val="000A1DC3"/>
    <w:rsid w:val="000A21EA"/>
    <w:rsid w:val="000A4148"/>
    <w:rsid w:val="000C1B5E"/>
    <w:rsid w:val="000C4B20"/>
    <w:rsid w:val="000C7097"/>
    <w:rsid w:val="000D193F"/>
    <w:rsid w:val="000D4BBA"/>
    <w:rsid w:val="000E72CA"/>
    <w:rsid w:val="000F6446"/>
    <w:rsid w:val="001109AF"/>
    <w:rsid w:val="001114B3"/>
    <w:rsid w:val="00113FD6"/>
    <w:rsid w:val="00122A61"/>
    <w:rsid w:val="0012779D"/>
    <w:rsid w:val="001356F6"/>
    <w:rsid w:val="00141232"/>
    <w:rsid w:val="001431A2"/>
    <w:rsid w:val="00151BA0"/>
    <w:rsid w:val="00151DE1"/>
    <w:rsid w:val="00157862"/>
    <w:rsid w:val="001606C1"/>
    <w:rsid w:val="00161154"/>
    <w:rsid w:val="0016331D"/>
    <w:rsid w:val="001650EF"/>
    <w:rsid w:val="00165E76"/>
    <w:rsid w:val="0017049A"/>
    <w:rsid w:val="001768C9"/>
    <w:rsid w:val="00182A0C"/>
    <w:rsid w:val="00184E75"/>
    <w:rsid w:val="00191382"/>
    <w:rsid w:val="00193463"/>
    <w:rsid w:val="001939C6"/>
    <w:rsid w:val="00193B22"/>
    <w:rsid w:val="001947E8"/>
    <w:rsid w:val="00196E83"/>
    <w:rsid w:val="001A0A7C"/>
    <w:rsid w:val="001A7109"/>
    <w:rsid w:val="001A7ACA"/>
    <w:rsid w:val="001B0F82"/>
    <w:rsid w:val="001B356E"/>
    <w:rsid w:val="001B6180"/>
    <w:rsid w:val="001B7B8F"/>
    <w:rsid w:val="001C4600"/>
    <w:rsid w:val="001C5C69"/>
    <w:rsid w:val="001D42CC"/>
    <w:rsid w:val="001E1892"/>
    <w:rsid w:val="001E2D08"/>
    <w:rsid w:val="001F18AC"/>
    <w:rsid w:val="002008C1"/>
    <w:rsid w:val="00207EA8"/>
    <w:rsid w:val="002122E0"/>
    <w:rsid w:val="00212E60"/>
    <w:rsid w:val="00220FE3"/>
    <w:rsid w:val="0022612F"/>
    <w:rsid w:val="002271B4"/>
    <w:rsid w:val="00233F6E"/>
    <w:rsid w:val="00241044"/>
    <w:rsid w:val="002473C9"/>
    <w:rsid w:val="002506F2"/>
    <w:rsid w:val="00260F5A"/>
    <w:rsid w:val="002632DA"/>
    <w:rsid w:val="00266472"/>
    <w:rsid w:val="002705B9"/>
    <w:rsid w:val="00276245"/>
    <w:rsid w:val="002824D2"/>
    <w:rsid w:val="00294BA5"/>
    <w:rsid w:val="0029766B"/>
    <w:rsid w:val="002A5B62"/>
    <w:rsid w:val="002A68D5"/>
    <w:rsid w:val="002A6CC8"/>
    <w:rsid w:val="002B427B"/>
    <w:rsid w:val="002B5B25"/>
    <w:rsid w:val="002E47A8"/>
    <w:rsid w:val="002E5A8C"/>
    <w:rsid w:val="002E6CDF"/>
    <w:rsid w:val="00305ADB"/>
    <w:rsid w:val="00305B7F"/>
    <w:rsid w:val="00306DFD"/>
    <w:rsid w:val="0031599D"/>
    <w:rsid w:val="00315BF4"/>
    <w:rsid w:val="00317F2C"/>
    <w:rsid w:val="00317F52"/>
    <w:rsid w:val="00320616"/>
    <w:rsid w:val="003239A0"/>
    <w:rsid w:val="00337C25"/>
    <w:rsid w:val="0034437E"/>
    <w:rsid w:val="00356433"/>
    <w:rsid w:val="00360941"/>
    <w:rsid w:val="00365374"/>
    <w:rsid w:val="003729D3"/>
    <w:rsid w:val="00385DF2"/>
    <w:rsid w:val="003B24EE"/>
    <w:rsid w:val="003B61E1"/>
    <w:rsid w:val="003C3628"/>
    <w:rsid w:val="003C7328"/>
    <w:rsid w:val="003D0706"/>
    <w:rsid w:val="003D5A81"/>
    <w:rsid w:val="003E1218"/>
    <w:rsid w:val="003E193F"/>
    <w:rsid w:val="003E2D70"/>
    <w:rsid w:val="003E350F"/>
    <w:rsid w:val="003E3A9E"/>
    <w:rsid w:val="003E49F4"/>
    <w:rsid w:val="003F0DBC"/>
    <w:rsid w:val="003F2BA4"/>
    <w:rsid w:val="00401D5C"/>
    <w:rsid w:val="00402B9B"/>
    <w:rsid w:val="00406D09"/>
    <w:rsid w:val="00410F2F"/>
    <w:rsid w:val="0042251E"/>
    <w:rsid w:val="0046652B"/>
    <w:rsid w:val="00466530"/>
    <w:rsid w:val="00471CDC"/>
    <w:rsid w:val="00476978"/>
    <w:rsid w:val="00482D31"/>
    <w:rsid w:val="00490DE1"/>
    <w:rsid w:val="004973C6"/>
    <w:rsid w:val="004A0503"/>
    <w:rsid w:val="004A1965"/>
    <w:rsid w:val="004A55F6"/>
    <w:rsid w:val="004B15DF"/>
    <w:rsid w:val="004B54BD"/>
    <w:rsid w:val="004B6979"/>
    <w:rsid w:val="004C77EF"/>
    <w:rsid w:val="004D0BDF"/>
    <w:rsid w:val="004D2F26"/>
    <w:rsid w:val="004D35C5"/>
    <w:rsid w:val="004D6991"/>
    <w:rsid w:val="004D7805"/>
    <w:rsid w:val="004E105C"/>
    <w:rsid w:val="004E12D0"/>
    <w:rsid w:val="004E45CF"/>
    <w:rsid w:val="004E541A"/>
    <w:rsid w:val="004E5568"/>
    <w:rsid w:val="004F045E"/>
    <w:rsid w:val="004F1FEF"/>
    <w:rsid w:val="004F281E"/>
    <w:rsid w:val="00503775"/>
    <w:rsid w:val="005177DD"/>
    <w:rsid w:val="005270A4"/>
    <w:rsid w:val="005341B6"/>
    <w:rsid w:val="00542EEC"/>
    <w:rsid w:val="00550AD1"/>
    <w:rsid w:val="00556E18"/>
    <w:rsid w:val="00560F1D"/>
    <w:rsid w:val="00564413"/>
    <w:rsid w:val="005644F8"/>
    <w:rsid w:val="00574125"/>
    <w:rsid w:val="00575982"/>
    <w:rsid w:val="005765A5"/>
    <w:rsid w:val="0058469C"/>
    <w:rsid w:val="005911C2"/>
    <w:rsid w:val="00592A79"/>
    <w:rsid w:val="00595AAA"/>
    <w:rsid w:val="005A02AE"/>
    <w:rsid w:val="005A0B5F"/>
    <w:rsid w:val="005A365F"/>
    <w:rsid w:val="005C11A6"/>
    <w:rsid w:val="005C11DF"/>
    <w:rsid w:val="005C4DC0"/>
    <w:rsid w:val="005C609B"/>
    <w:rsid w:val="005D1B50"/>
    <w:rsid w:val="005D2E52"/>
    <w:rsid w:val="005E42BE"/>
    <w:rsid w:val="005F07E8"/>
    <w:rsid w:val="005F1047"/>
    <w:rsid w:val="005F4476"/>
    <w:rsid w:val="0060168C"/>
    <w:rsid w:val="00601881"/>
    <w:rsid w:val="00605DDE"/>
    <w:rsid w:val="006066B6"/>
    <w:rsid w:val="00611BBF"/>
    <w:rsid w:val="00612F8A"/>
    <w:rsid w:val="00617540"/>
    <w:rsid w:val="0062181D"/>
    <w:rsid w:val="00622A99"/>
    <w:rsid w:val="00631A99"/>
    <w:rsid w:val="00632AE9"/>
    <w:rsid w:val="00635295"/>
    <w:rsid w:val="006425D2"/>
    <w:rsid w:val="00643751"/>
    <w:rsid w:val="00643A68"/>
    <w:rsid w:val="00643C03"/>
    <w:rsid w:val="00654446"/>
    <w:rsid w:val="006801E3"/>
    <w:rsid w:val="00684810"/>
    <w:rsid w:val="0068653F"/>
    <w:rsid w:val="006A0356"/>
    <w:rsid w:val="006A2CF0"/>
    <w:rsid w:val="006B2CE0"/>
    <w:rsid w:val="006C215D"/>
    <w:rsid w:val="006D69F9"/>
    <w:rsid w:val="006D6D3F"/>
    <w:rsid w:val="006E00E6"/>
    <w:rsid w:val="006E2E6F"/>
    <w:rsid w:val="00711C01"/>
    <w:rsid w:val="00714DDA"/>
    <w:rsid w:val="00716748"/>
    <w:rsid w:val="00716791"/>
    <w:rsid w:val="00717027"/>
    <w:rsid w:val="007202BE"/>
    <w:rsid w:val="007211A2"/>
    <w:rsid w:val="00722533"/>
    <w:rsid w:val="00723205"/>
    <w:rsid w:val="0072323E"/>
    <w:rsid w:val="0073317B"/>
    <w:rsid w:val="007412D0"/>
    <w:rsid w:val="007418D0"/>
    <w:rsid w:val="0074358F"/>
    <w:rsid w:val="00747D4C"/>
    <w:rsid w:val="00750CF3"/>
    <w:rsid w:val="00751D4E"/>
    <w:rsid w:val="00755E85"/>
    <w:rsid w:val="00776134"/>
    <w:rsid w:val="0077687D"/>
    <w:rsid w:val="007810D1"/>
    <w:rsid w:val="007834D5"/>
    <w:rsid w:val="007845BB"/>
    <w:rsid w:val="007861DC"/>
    <w:rsid w:val="00790A45"/>
    <w:rsid w:val="007B0DE7"/>
    <w:rsid w:val="007B7643"/>
    <w:rsid w:val="007E0943"/>
    <w:rsid w:val="007E1B84"/>
    <w:rsid w:val="007E2B7E"/>
    <w:rsid w:val="007E66E6"/>
    <w:rsid w:val="0080080E"/>
    <w:rsid w:val="0081077A"/>
    <w:rsid w:val="00812F94"/>
    <w:rsid w:val="0082418D"/>
    <w:rsid w:val="00835254"/>
    <w:rsid w:val="0083760E"/>
    <w:rsid w:val="00837F2A"/>
    <w:rsid w:val="00845B3E"/>
    <w:rsid w:val="00853CC7"/>
    <w:rsid w:val="00854263"/>
    <w:rsid w:val="00854A04"/>
    <w:rsid w:val="00857FB8"/>
    <w:rsid w:val="00861627"/>
    <w:rsid w:val="008635FA"/>
    <w:rsid w:val="00875233"/>
    <w:rsid w:val="00897118"/>
    <w:rsid w:val="00897C24"/>
    <w:rsid w:val="008D1C73"/>
    <w:rsid w:val="008E0749"/>
    <w:rsid w:val="008E075D"/>
    <w:rsid w:val="008E56F7"/>
    <w:rsid w:val="008E7001"/>
    <w:rsid w:val="008F24D8"/>
    <w:rsid w:val="009021D0"/>
    <w:rsid w:val="009023F5"/>
    <w:rsid w:val="00903F47"/>
    <w:rsid w:val="009074BE"/>
    <w:rsid w:val="00916F2F"/>
    <w:rsid w:val="009208AB"/>
    <w:rsid w:val="009237C1"/>
    <w:rsid w:val="00924504"/>
    <w:rsid w:val="00926178"/>
    <w:rsid w:val="00931F18"/>
    <w:rsid w:val="00940731"/>
    <w:rsid w:val="00940862"/>
    <w:rsid w:val="00952B44"/>
    <w:rsid w:val="00960B5E"/>
    <w:rsid w:val="0096559A"/>
    <w:rsid w:val="00965A5A"/>
    <w:rsid w:val="0096676D"/>
    <w:rsid w:val="009704A3"/>
    <w:rsid w:val="0098004E"/>
    <w:rsid w:val="00987BA6"/>
    <w:rsid w:val="00992FDC"/>
    <w:rsid w:val="009B04D6"/>
    <w:rsid w:val="009B07AE"/>
    <w:rsid w:val="009B2287"/>
    <w:rsid w:val="009C69E2"/>
    <w:rsid w:val="009D06B9"/>
    <w:rsid w:val="009D2FF8"/>
    <w:rsid w:val="009D36AF"/>
    <w:rsid w:val="009D7019"/>
    <w:rsid w:val="009E455A"/>
    <w:rsid w:val="009E7B04"/>
    <w:rsid w:val="009F12E6"/>
    <w:rsid w:val="009F18B8"/>
    <w:rsid w:val="009F2BC7"/>
    <w:rsid w:val="009F790B"/>
    <w:rsid w:val="00A02DA3"/>
    <w:rsid w:val="00A05177"/>
    <w:rsid w:val="00A11365"/>
    <w:rsid w:val="00A11FB6"/>
    <w:rsid w:val="00A222CB"/>
    <w:rsid w:val="00A24C61"/>
    <w:rsid w:val="00A311A3"/>
    <w:rsid w:val="00A44B27"/>
    <w:rsid w:val="00A45E32"/>
    <w:rsid w:val="00A471CC"/>
    <w:rsid w:val="00A77AC6"/>
    <w:rsid w:val="00A8091C"/>
    <w:rsid w:val="00A82915"/>
    <w:rsid w:val="00A86E65"/>
    <w:rsid w:val="00A9430E"/>
    <w:rsid w:val="00A96517"/>
    <w:rsid w:val="00A97361"/>
    <w:rsid w:val="00AA7BA4"/>
    <w:rsid w:val="00AC207D"/>
    <w:rsid w:val="00AC341F"/>
    <w:rsid w:val="00AC3626"/>
    <w:rsid w:val="00AC491B"/>
    <w:rsid w:val="00AC5EA2"/>
    <w:rsid w:val="00AD20D8"/>
    <w:rsid w:val="00AD79B6"/>
    <w:rsid w:val="00AE6F33"/>
    <w:rsid w:val="00AF6184"/>
    <w:rsid w:val="00B07BDC"/>
    <w:rsid w:val="00B32832"/>
    <w:rsid w:val="00B3481B"/>
    <w:rsid w:val="00B43451"/>
    <w:rsid w:val="00B46840"/>
    <w:rsid w:val="00B50ADC"/>
    <w:rsid w:val="00B518E3"/>
    <w:rsid w:val="00B6710E"/>
    <w:rsid w:val="00B678A0"/>
    <w:rsid w:val="00B80ED4"/>
    <w:rsid w:val="00B95651"/>
    <w:rsid w:val="00B9745D"/>
    <w:rsid w:val="00BA0035"/>
    <w:rsid w:val="00BB0F4F"/>
    <w:rsid w:val="00BB1739"/>
    <w:rsid w:val="00BB452E"/>
    <w:rsid w:val="00BB619F"/>
    <w:rsid w:val="00BC5961"/>
    <w:rsid w:val="00BD1665"/>
    <w:rsid w:val="00BE59CB"/>
    <w:rsid w:val="00BF1F67"/>
    <w:rsid w:val="00BF4F91"/>
    <w:rsid w:val="00C00F44"/>
    <w:rsid w:val="00C06E38"/>
    <w:rsid w:val="00C10C75"/>
    <w:rsid w:val="00C10F02"/>
    <w:rsid w:val="00C2288D"/>
    <w:rsid w:val="00C24D41"/>
    <w:rsid w:val="00C313CB"/>
    <w:rsid w:val="00C32B99"/>
    <w:rsid w:val="00C34C6A"/>
    <w:rsid w:val="00C35757"/>
    <w:rsid w:val="00C40498"/>
    <w:rsid w:val="00C43AED"/>
    <w:rsid w:val="00C73199"/>
    <w:rsid w:val="00C76BA6"/>
    <w:rsid w:val="00C84EED"/>
    <w:rsid w:val="00C850D3"/>
    <w:rsid w:val="00C91904"/>
    <w:rsid w:val="00C93AC1"/>
    <w:rsid w:val="00C95DEF"/>
    <w:rsid w:val="00CA64EE"/>
    <w:rsid w:val="00CB7B6C"/>
    <w:rsid w:val="00CE12F2"/>
    <w:rsid w:val="00CE3275"/>
    <w:rsid w:val="00CE5189"/>
    <w:rsid w:val="00CF3927"/>
    <w:rsid w:val="00CF53B6"/>
    <w:rsid w:val="00CF718B"/>
    <w:rsid w:val="00D031FC"/>
    <w:rsid w:val="00D071C3"/>
    <w:rsid w:val="00D272B4"/>
    <w:rsid w:val="00D37979"/>
    <w:rsid w:val="00D37B6F"/>
    <w:rsid w:val="00D41C27"/>
    <w:rsid w:val="00D42B26"/>
    <w:rsid w:val="00D5317B"/>
    <w:rsid w:val="00D53C2D"/>
    <w:rsid w:val="00D54E7F"/>
    <w:rsid w:val="00D578BE"/>
    <w:rsid w:val="00D718E2"/>
    <w:rsid w:val="00D738EB"/>
    <w:rsid w:val="00D77274"/>
    <w:rsid w:val="00D8244C"/>
    <w:rsid w:val="00D84243"/>
    <w:rsid w:val="00D8451B"/>
    <w:rsid w:val="00DA33F4"/>
    <w:rsid w:val="00DA4974"/>
    <w:rsid w:val="00DA7D9C"/>
    <w:rsid w:val="00DB0DD0"/>
    <w:rsid w:val="00DB24CC"/>
    <w:rsid w:val="00DB415F"/>
    <w:rsid w:val="00DB7132"/>
    <w:rsid w:val="00DC7B1C"/>
    <w:rsid w:val="00DF1871"/>
    <w:rsid w:val="00DF2252"/>
    <w:rsid w:val="00DF2DD1"/>
    <w:rsid w:val="00DF3B88"/>
    <w:rsid w:val="00E00D66"/>
    <w:rsid w:val="00E0133D"/>
    <w:rsid w:val="00E12047"/>
    <w:rsid w:val="00E16185"/>
    <w:rsid w:val="00E21846"/>
    <w:rsid w:val="00E22554"/>
    <w:rsid w:val="00E25B6E"/>
    <w:rsid w:val="00E41D00"/>
    <w:rsid w:val="00E446AE"/>
    <w:rsid w:val="00E5098A"/>
    <w:rsid w:val="00E54BFA"/>
    <w:rsid w:val="00E56688"/>
    <w:rsid w:val="00E5742E"/>
    <w:rsid w:val="00E77CF3"/>
    <w:rsid w:val="00E80360"/>
    <w:rsid w:val="00E817AC"/>
    <w:rsid w:val="00E9358F"/>
    <w:rsid w:val="00EA2471"/>
    <w:rsid w:val="00EA29BC"/>
    <w:rsid w:val="00EA37C3"/>
    <w:rsid w:val="00EB4873"/>
    <w:rsid w:val="00EC04EE"/>
    <w:rsid w:val="00EC2ECF"/>
    <w:rsid w:val="00ED6BCC"/>
    <w:rsid w:val="00ED77A8"/>
    <w:rsid w:val="00EE0805"/>
    <w:rsid w:val="00EE0B19"/>
    <w:rsid w:val="00EE51C3"/>
    <w:rsid w:val="00EF09CC"/>
    <w:rsid w:val="00EF50B1"/>
    <w:rsid w:val="00F013A4"/>
    <w:rsid w:val="00F020C8"/>
    <w:rsid w:val="00F105DE"/>
    <w:rsid w:val="00F131E5"/>
    <w:rsid w:val="00F14AC3"/>
    <w:rsid w:val="00F17DD3"/>
    <w:rsid w:val="00F211AE"/>
    <w:rsid w:val="00F23282"/>
    <w:rsid w:val="00F36A35"/>
    <w:rsid w:val="00F37E27"/>
    <w:rsid w:val="00F4087B"/>
    <w:rsid w:val="00F438CD"/>
    <w:rsid w:val="00F53BDE"/>
    <w:rsid w:val="00F54E5E"/>
    <w:rsid w:val="00F55467"/>
    <w:rsid w:val="00F651C9"/>
    <w:rsid w:val="00F752EA"/>
    <w:rsid w:val="00F855C7"/>
    <w:rsid w:val="00F92F70"/>
    <w:rsid w:val="00F9727B"/>
    <w:rsid w:val="00FA116E"/>
    <w:rsid w:val="00FA152B"/>
    <w:rsid w:val="00FA2FC9"/>
    <w:rsid w:val="00FA6FE4"/>
    <w:rsid w:val="00FB6669"/>
    <w:rsid w:val="00FC0565"/>
    <w:rsid w:val="00FC2F14"/>
    <w:rsid w:val="00FD440D"/>
    <w:rsid w:val="00FD6FC0"/>
    <w:rsid w:val="00FE633C"/>
    <w:rsid w:val="00FE7118"/>
    <w:rsid w:val="00FF0351"/>
    <w:rsid w:val="00FF2829"/>
    <w:rsid w:val="00FF6838"/>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0A2A"/>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BD"/>
    <w:rPr>
      <w:lang w:val="en-US"/>
    </w:rPr>
  </w:style>
  <w:style w:type="paragraph" w:styleId="Heading1">
    <w:name w:val="heading 1"/>
    <w:basedOn w:val="Normal"/>
    <w:next w:val="Normal"/>
    <w:link w:val="Heading1Char"/>
    <w:qFormat/>
    <w:rsid w:val="003F0DBC"/>
    <w:pPr>
      <w:keepNext/>
      <w:spacing w:after="0" w:line="240" w:lineRule="auto"/>
      <w:outlineLvl w:val="0"/>
    </w:pPr>
    <w:rPr>
      <w:rFonts w:ascii="Times New Roman" w:eastAsia="Times New Roman" w:hAnsi="Times New Roman" w:cs="Times New Roman"/>
      <w:sz w:val="28"/>
      <w:szCs w:val="24"/>
      <w:lang w:val="ro-RO" w:eastAsia="ro-RO"/>
    </w:rPr>
  </w:style>
  <w:style w:type="paragraph" w:styleId="Heading2">
    <w:name w:val="heading 2"/>
    <w:basedOn w:val="Normal"/>
    <w:next w:val="Normal"/>
    <w:link w:val="Heading2Char"/>
    <w:uiPriority w:val="9"/>
    <w:semiHidden/>
    <w:unhideWhenUsed/>
    <w:qFormat/>
    <w:rsid w:val="00B67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B7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0C"/>
    <w:pPr>
      <w:ind w:left="720"/>
      <w:contextualSpacing/>
    </w:pPr>
  </w:style>
  <w:style w:type="paragraph" w:styleId="Header">
    <w:name w:val="header"/>
    <w:basedOn w:val="Normal"/>
    <w:link w:val="HeaderChar"/>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uiPriority w:val="3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F0DBC"/>
    <w:rPr>
      <w:rFonts w:ascii="Times New Roman" w:eastAsia="Times New Roman" w:hAnsi="Times New Roman" w:cs="Times New Roman"/>
      <w:sz w:val="28"/>
      <w:szCs w:val="24"/>
      <w:lang w:eastAsia="ro-RO"/>
    </w:rPr>
  </w:style>
  <w:style w:type="character" w:customStyle="1" w:styleId="rvts9">
    <w:name w:val="rvts9"/>
    <w:basedOn w:val="DefaultParagraphFont"/>
    <w:rsid w:val="000D4BBA"/>
  </w:style>
  <w:style w:type="paragraph" w:customStyle="1" w:styleId="Default">
    <w:name w:val="Default"/>
    <w:rsid w:val="003E3A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B6710E"/>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B7B6C"/>
    <w:rPr>
      <w:rFonts w:asciiTheme="majorHAnsi" w:eastAsiaTheme="majorEastAsia" w:hAnsiTheme="majorHAnsi" w:cstheme="majorBidi"/>
      <w:color w:val="1F4D78" w:themeColor="accent1" w:themeShade="7F"/>
      <w:sz w:val="24"/>
      <w:szCs w:val="24"/>
      <w:lang w:val="en-US"/>
    </w:rPr>
  </w:style>
  <w:style w:type="character" w:styleId="UnresolvedMention">
    <w:name w:val="Unresolved Mention"/>
    <w:basedOn w:val="DefaultParagraphFont"/>
    <w:uiPriority w:val="99"/>
    <w:semiHidden/>
    <w:unhideWhenUsed/>
    <w:rsid w:val="00CB7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0617">
      <w:bodyDiv w:val="1"/>
      <w:marLeft w:val="0"/>
      <w:marRight w:val="0"/>
      <w:marTop w:val="0"/>
      <w:marBottom w:val="0"/>
      <w:divBdr>
        <w:top w:val="none" w:sz="0" w:space="0" w:color="auto"/>
        <w:left w:val="none" w:sz="0" w:space="0" w:color="auto"/>
        <w:bottom w:val="none" w:sz="0" w:space="0" w:color="auto"/>
        <w:right w:val="none" w:sz="0" w:space="0" w:color="auto"/>
      </w:divBdr>
    </w:div>
    <w:div w:id="639113734">
      <w:bodyDiv w:val="1"/>
      <w:marLeft w:val="0"/>
      <w:marRight w:val="0"/>
      <w:marTop w:val="0"/>
      <w:marBottom w:val="0"/>
      <w:divBdr>
        <w:top w:val="none" w:sz="0" w:space="0" w:color="auto"/>
        <w:left w:val="none" w:sz="0" w:space="0" w:color="auto"/>
        <w:bottom w:val="none" w:sz="0" w:space="0" w:color="auto"/>
        <w:right w:val="none" w:sz="0" w:space="0" w:color="auto"/>
      </w:divBdr>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1259370417">
      <w:bodyDiv w:val="1"/>
      <w:marLeft w:val="0"/>
      <w:marRight w:val="0"/>
      <w:marTop w:val="0"/>
      <w:marBottom w:val="0"/>
      <w:divBdr>
        <w:top w:val="none" w:sz="0" w:space="0" w:color="auto"/>
        <w:left w:val="none" w:sz="0" w:space="0" w:color="auto"/>
        <w:bottom w:val="none" w:sz="0" w:space="0" w:color="auto"/>
        <w:right w:val="none" w:sz="0" w:space="0" w:color="auto"/>
      </w:divBdr>
    </w:div>
    <w:div w:id="1648166813">
      <w:bodyDiv w:val="1"/>
      <w:marLeft w:val="0"/>
      <w:marRight w:val="0"/>
      <w:marTop w:val="0"/>
      <w:marBottom w:val="0"/>
      <w:divBdr>
        <w:top w:val="none" w:sz="0" w:space="0" w:color="auto"/>
        <w:left w:val="none" w:sz="0" w:space="0" w:color="auto"/>
        <w:bottom w:val="none" w:sz="0" w:space="0" w:color="auto"/>
        <w:right w:val="none" w:sz="0" w:space="0" w:color="auto"/>
      </w:divBdr>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809589945">
      <w:bodyDiv w:val="1"/>
      <w:marLeft w:val="0"/>
      <w:marRight w:val="0"/>
      <w:marTop w:val="0"/>
      <w:marBottom w:val="0"/>
      <w:divBdr>
        <w:top w:val="none" w:sz="0" w:space="0" w:color="auto"/>
        <w:left w:val="none" w:sz="0" w:space="0" w:color="auto"/>
        <w:bottom w:val="none" w:sz="0" w:space="0" w:color="auto"/>
        <w:right w:val="none" w:sz="0" w:space="0" w:color="auto"/>
      </w:divBdr>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4C17-B210-406F-A00B-D6BEA68A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2189</Words>
  <Characters>12699</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Lupu</dc:creator>
  <cp:keywords/>
  <dc:description/>
  <cp:lastModifiedBy>Aurelian Gavrilescu</cp:lastModifiedBy>
  <cp:revision>3</cp:revision>
  <cp:lastPrinted>2025-02-11T06:57:00Z</cp:lastPrinted>
  <dcterms:created xsi:type="dcterms:W3CDTF">2026-05-29T07:59:00Z</dcterms:created>
  <dcterms:modified xsi:type="dcterms:W3CDTF">2026-05-29T11:49:00Z</dcterms:modified>
</cp:coreProperties>
</file>