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rajan Pro" w:hAnsi="Trajan Pro"/>
          <w:b/>
          <w:sz w:val="28"/>
          <w:szCs w:val="28"/>
        </w:rPr>
      </w:pPr>
      <w:r>
        <w:drawing>
          <wp:anchor distT="0" distB="0" distL="114300" distR="114300" simplePos="0" relativeHeight="251659264" behindDoc="0" locked="0" layoutInCell="1" allowOverlap="1">
            <wp:simplePos x="0" y="0"/>
            <wp:positionH relativeFrom="column">
              <wp:posOffset>-697865</wp:posOffset>
            </wp:positionH>
            <wp:positionV relativeFrom="margin">
              <wp:posOffset>-233045</wp:posOffset>
            </wp:positionV>
            <wp:extent cx="899795" cy="899795"/>
            <wp:effectExtent l="0" t="0" r="0" b="0"/>
            <wp:wrapTight wrapText="bothSides">
              <wp:wrapPolygon>
                <wp:start x="6010" y="0"/>
                <wp:lineTo x="2760" y="1748"/>
                <wp:lineTo x="-497" y="5323"/>
                <wp:lineTo x="-497" y="15621"/>
                <wp:lineTo x="4624" y="20527"/>
                <wp:lineTo x="6010" y="20527"/>
                <wp:lineTo x="14445" y="20527"/>
                <wp:lineTo x="15830" y="20527"/>
                <wp:lineTo x="20989" y="15621"/>
                <wp:lineTo x="20989" y="5323"/>
                <wp:lineTo x="17704" y="1748"/>
                <wp:lineTo x="14445" y="0"/>
                <wp:lineTo x="601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a:xfrm>
                      <a:off x="0" y="0"/>
                      <a:ext cx="899795" cy="899795"/>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3609340</wp:posOffset>
            </wp:positionH>
            <wp:positionV relativeFrom="paragraph">
              <wp:posOffset>127000</wp:posOffset>
            </wp:positionV>
            <wp:extent cx="2157730" cy="6864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8895" t="37459" r="12559" b="37552"/>
                    <a:stretch>
                      <a:fillRect/>
                    </a:stretch>
                  </pic:blipFill>
                  <pic:spPr>
                    <a:xfrm>
                      <a:off x="0" y="0"/>
                      <a:ext cx="2157730" cy="686435"/>
                    </a:xfrm>
                    <a:prstGeom prst="rect">
                      <a:avLst/>
                    </a:prstGeom>
                  </pic:spPr>
                </pic:pic>
              </a:graphicData>
            </a:graphic>
          </wp:anchor>
        </w:drawing>
      </w:r>
      <w:r>
        <w:rPr>
          <w:rFonts w:ascii="Trajan Pro" w:hAnsi="Trajan Pro"/>
          <w:b/>
          <w:sz w:val="28"/>
          <w:szCs w:val="28"/>
        </w:rPr>
        <w:t xml:space="preserve">MINISTERUL FINANȚELOR       </w:t>
      </w:r>
    </w:p>
    <w:p>
      <w:pPr>
        <w:spacing w:after="46"/>
        <w:rPr>
          <w:rFonts w:ascii="Trebuchet MS" w:hAnsi="Trebuchet MS"/>
          <w:b/>
          <w:sz w:val="24"/>
          <w:szCs w:val="24"/>
          <w:lang w:val="ro-RO"/>
        </w:rPr>
      </w:pPr>
      <w:r>
        <w:rPr>
          <w:rFonts w:ascii="Trebuchet MS" w:hAnsi="Trebuchet MS"/>
          <w:b/>
          <w:sz w:val="24"/>
          <w:szCs w:val="24"/>
        </w:rPr>
        <w:t>Agen</w:t>
      </w:r>
      <w:r>
        <w:rPr>
          <w:rFonts w:ascii="Trebuchet MS" w:hAnsi="Trebuchet MS"/>
          <w:b/>
          <w:sz w:val="24"/>
          <w:szCs w:val="24"/>
          <w:lang w:val="ro-RO"/>
        </w:rPr>
        <w:t>ția Națională de Administrare Fiscală</w:t>
      </w:r>
    </w:p>
    <w:p>
      <w:pPr>
        <w:spacing w:after="0" w:line="240" w:lineRule="auto"/>
        <w:ind w:left="2161" w:leftChars="0" w:hanging="2161" w:hangingChars="900"/>
        <w:jc w:val="both"/>
        <w:rPr>
          <w:rFonts w:ascii="Trebuchet MS" w:hAnsi="Trebuchet MS" w:cs="Arial"/>
          <w:b/>
          <w:bCs w:val="0"/>
          <w:color w:val="000000"/>
          <w:sz w:val="24"/>
          <w:szCs w:val="24"/>
          <w:lang w:val="en-US"/>
        </w:rPr>
      </w:pPr>
      <w:r>
        <w:rPr>
          <w:rFonts w:ascii="Trebuchet MS" w:hAnsi="Trebuchet MS" w:cs="Arial"/>
          <w:b/>
          <w:bCs w:val="0"/>
          <w:color w:val="000000"/>
          <w:sz w:val="24"/>
          <w:szCs w:val="24"/>
          <w:lang w:val="en-US"/>
        </w:rPr>
        <w:tab/>
      </w:r>
    </w:p>
    <w:p>
      <w:pPr>
        <w:spacing w:after="0" w:line="240" w:lineRule="auto"/>
        <w:ind w:left="2161" w:leftChars="0" w:hanging="2161" w:hangingChars="900"/>
        <w:jc w:val="both"/>
        <w:rPr>
          <w:rFonts w:ascii="Trebuchet MS" w:hAnsi="Trebuchet MS" w:cs="Arial"/>
          <w:b/>
          <w:bCs w:val="0"/>
          <w:color w:val="000000"/>
          <w:sz w:val="24"/>
          <w:szCs w:val="24"/>
          <w:lang w:val="en-US"/>
        </w:rPr>
      </w:pPr>
    </w:p>
    <w:p>
      <w:pPr>
        <w:spacing w:after="0" w:line="240" w:lineRule="auto"/>
        <w:ind w:firstLine="960" w:firstLineChars="400"/>
        <w:jc w:val="both"/>
        <w:rPr>
          <w:rFonts w:ascii="Trebuchet MS" w:hAnsi="Trebuchet MS" w:cs="Trebuchet MS"/>
          <w:b/>
          <w:bCs w:val="0"/>
          <w:sz w:val="24"/>
          <w:szCs w:val="24"/>
          <w:lang w:val="pt-BR"/>
        </w:rPr>
      </w:pPr>
    </w:p>
    <w:p>
      <w:pPr>
        <w:spacing w:after="0" w:line="240" w:lineRule="auto"/>
        <w:ind w:left="0" w:leftChars="0" w:firstLine="0" w:firstLineChars="0"/>
        <w:jc w:val="center"/>
        <w:rPr>
          <w:rFonts w:ascii="Trebuchet MS" w:hAnsi="Trebuchet MS" w:cs="Arial" w:eastAsiaTheme="minorHAnsi"/>
          <w:b/>
          <w:bCs/>
          <w:sz w:val="24"/>
          <w:szCs w:val="24"/>
          <w:lang w:val="pt-BR" w:eastAsia="en-US" w:bidi="ar-SA"/>
        </w:rPr>
      </w:pPr>
      <w:r>
        <w:rPr>
          <w:rFonts w:ascii="Trebuchet MS" w:hAnsi="Trebuchet MS" w:cs="Trebuchet MS"/>
          <w:b/>
          <w:bCs w:val="0"/>
          <w:sz w:val="24"/>
          <w:szCs w:val="24"/>
          <w:lang w:val="pt-BR"/>
        </w:rPr>
        <w:t>Referat</w:t>
      </w:r>
      <w:r>
        <w:rPr>
          <w:rFonts w:hint="default" w:ascii="Trebuchet MS" w:hAnsi="Trebuchet MS" w:cs="Trebuchet MS"/>
          <w:b/>
          <w:bCs w:val="0"/>
          <w:sz w:val="24"/>
          <w:szCs w:val="24"/>
          <w:lang w:val="en-US"/>
        </w:rPr>
        <w:t>ul</w:t>
      </w:r>
      <w:r>
        <w:rPr>
          <w:rFonts w:ascii="Trebuchet MS" w:hAnsi="Trebuchet MS" w:cs="Trebuchet MS"/>
          <w:b/>
          <w:bCs w:val="0"/>
          <w:sz w:val="24"/>
          <w:szCs w:val="24"/>
          <w:lang w:val="pt-BR"/>
        </w:rPr>
        <w:t xml:space="preserve"> </w:t>
      </w:r>
      <w:r>
        <w:rPr>
          <w:rFonts w:ascii="Trebuchet MS" w:hAnsi="Trebuchet MS" w:cs="Arial" w:eastAsiaTheme="minorHAnsi"/>
          <w:b/>
          <w:bCs/>
          <w:sz w:val="24"/>
          <w:szCs w:val="24"/>
          <w:lang w:val="pt-BR" w:eastAsia="en-US" w:bidi="ar-SA"/>
        </w:rPr>
        <w:t>de aprobare</w:t>
      </w:r>
    </w:p>
    <w:p>
      <w:pPr>
        <w:spacing w:after="0" w:line="240" w:lineRule="auto"/>
        <w:ind w:left="0" w:leftChars="0" w:firstLine="0" w:firstLineChars="0"/>
        <w:jc w:val="center"/>
        <w:rPr>
          <w:rFonts w:hint="default" w:ascii="Trebuchet MS" w:hAnsi="Trebuchet MS" w:cs="Arial" w:eastAsiaTheme="minorHAnsi"/>
          <w:b/>
          <w:bCs/>
          <w:sz w:val="24"/>
          <w:szCs w:val="24"/>
          <w:lang w:val="en-US" w:eastAsia="en-US" w:bidi="ar-SA"/>
        </w:rPr>
      </w:pPr>
      <w:r>
        <w:rPr>
          <w:rFonts w:ascii="Trebuchet MS" w:hAnsi="Trebuchet MS" w:cs="Arial" w:eastAsiaTheme="minorHAnsi"/>
          <w:b/>
          <w:bCs/>
          <w:sz w:val="24"/>
          <w:szCs w:val="24"/>
          <w:lang w:val="pt-BR" w:eastAsia="en-US" w:bidi="ar-SA"/>
        </w:rPr>
        <w:t xml:space="preserve">a proiectului de ordin pentru </w:t>
      </w:r>
      <w:r>
        <w:rPr>
          <w:rFonts w:hint="default" w:ascii="Trebuchet MS" w:hAnsi="Trebuchet MS" w:cs="Arial" w:eastAsiaTheme="minorHAnsi"/>
          <w:b/>
          <w:bCs/>
          <w:sz w:val="24"/>
          <w:szCs w:val="24"/>
          <w:lang w:val="en-US" w:eastAsia="en-US" w:bidi="ar-SA"/>
        </w:rPr>
        <w:t>modificarea</w:t>
      </w:r>
    </w:p>
    <w:p>
      <w:pPr>
        <w:spacing w:after="0" w:line="240" w:lineRule="auto"/>
        <w:ind w:left="0" w:leftChars="0" w:firstLine="0" w:firstLineChars="0"/>
        <w:jc w:val="center"/>
        <w:rPr>
          <w:rFonts w:hint="default" w:ascii="Trebuchet MS" w:hAnsi="Trebuchet MS" w:cs="Trebuchet MS"/>
          <w:b/>
          <w:bCs w:val="0"/>
          <w:sz w:val="24"/>
          <w:szCs w:val="24"/>
          <w:lang w:val="ro-RO"/>
        </w:rPr>
      </w:pPr>
      <w:r>
        <w:rPr>
          <w:rFonts w:hint="default" w:ascii="Trebuchet MS" w:hAnsi="Trebuchet MS" w:cs="Arial" w:eastAsiaTheme="minorHAnsi"/>
          <w:b/>
          <w:bCs/>
          <w:sz w:val="24"/>
          <w:szCs w:val="24"/>
          <w:lang w:val="ro-RO" w:eastAsia="en-US" w:bidi="ar-SA"/>
        </w:rPr>
        <w:t xml:space="preserve">Ordinului președintelui </w:t>
      </w:r>
      <w:r>
        <w:rPr>
          <w:rFonts w:hint="default" w:ascii="Trebuchet MS" w:hAnsi="Trebuchet MS" w:cs="Arial"/>
          <w:b/>
          <w:bCs/>
          <w:sz w:val="24"/>
          <w:szCs w:val="24"/>
          <w:lang w:val="en-US" w:eastAsia="en-US" w:bidi="ar-SA"/>
        </w:rPr>
        <w:t xml:space="preserve">ANAF </w:t>
      </w:r>
      <w:r>
        <w:rPr>
          <w:rFonts w:hint="default" w:ascii="Trebuchet MS" w:hAnsi="Trebuchet MS" w:cs="Arial" w:eastAsiaTheme="minorHAnsi"/>
          <w:b/>
          <w:bCs/>
          <w:sz w:val="24"/>
          <w:szCs w:val="24"/>
          <w:lang w:val="ro-RO" w:eastAsia="en-US" w:bidi="ar-SA"/>
        </w:rPr>
        <w:t>nr.3562/2024</w:t>
      </w:r>
    </w:p>
    <w:p>
      <w:pPr>
        <w:spacing w:after="40" w:line="240" w:lineRule="auto"/>
        <w:rPr>
          <w:rFonts w:ascii="Trebuchet MS" w:hAnsi="Trebuchet MS" w:cs="Arial"/>
          <w:color w:val="000000"/>
          <w:sz w:val="16"/>
          <w:szCs w:val="16"/>
          <w:lang w:val="ro-RO"/>
        </w:rPr>
      </w:pPr>
    </w:p>
    <w:p>
      <w:pPr>
        <w:spacing w:after="40" w:line="240" w:lineRule="auto"/>
        <w:rPr>
          <w:rFonts w:ascii="Trebuchet MS" w:hAnsi="Trebuchet MS" w:cs="Arial"/>
          <w:color w:val="000000"/>
          <w:sz w:val="16"/>
          <w:szCs w:val="16"/>
          <w:lang w:val="ro-RO"/>
        </w:rPr>
      </w:pPr>
      <w:bookmarkStart w:id="0" w:name="_GoBack"/>
      <w:bookmarkEnd w:id="0"/>
    </w:p>
    <w:p>
      <w:pPr>
        <w:pStyle w:val="11"/>
        <w:spacing w:before="0" w:after="160" w:line="240" w:lineRule="auto"/>
        <w:jc w:val="both"/>
        <w:rPr>
          <w:rFonts w:hint="default" w:ascii="Trebuchet MS" w:hAnsi="Trebuchet MS"/>
          <w:color w:val="auto"/>
          <w:sz w:val="24"/>
          <w:szCs w:val="24"/>
          <w:lang w:val="ro-RO"/>
        </w:rPr>
      </w:pPr>
      <w:r>
        <w:rPr>
          <w:rFonts w:hint="default" w:ascii="Trebuchet MS" w:hAnsi="Trebuchet MS" w:cs="Trebuchet MS" w:eastAsiaTheme="minorHAnsi"/>
          <w:color w:val="auto"/>
          <w:sz w:val="24"/>
          <w:szCs w:val="24"/>
          <w:lang w:val="ro-RO" w:eastAsia="en-US" w:bidi="ar-SA"/>
        </w:rPr>
        <w:t>P</w:t>
      </w:r>
      <w:r>
        <w:rPr>
          <w:rFonts w:hint="default" w:ascii="Trebuchet MS" w:hAnsi="Trebuchet MS" w:cs="Trebuchet MS"/>
          <w:color w:val="auto"/>
          <w:sz w:val="24"/>
          <w:szCs w:val="24"/>
          <w:lang w:val="ro-RO" w:eastAsia="en-US" w:bidi="ar-SA"/>
        </w:rPr>
        <w:t>otrivit art.42 alin.(4)</w:t>
      </w:r>
      <w:r>
        <w:rPr>
          <w:rFonts w:hint="default" w:ascii="Trebuchet MS" w:hAnsi="Trebuchet MS" w:cs="Trebuchet MS" w:eastAsiaTheme="minorHAnsi"/>
          <w:color w:val="auto"/>
          <w:sz w:val="24"/>
          <w:szCs w:val="24"/>
          <w:lang w:val="ro-RO" w:eastAsia="en-US" w:bidi="ar-SA"/>
        </w:rPr>
        <w:t xml:space="preserve"> Legea nr.227/20</w:t>
      </w:r>
      <w:r>
        <w:rPr>
          <w:rFonts w:hint="default" w:ascii="Trebuchet MS" w:hAnsi="Trebuchet MS" w:cs="Trebuchet MS"/>
          <w:color w:val="auto"/>
          <w:sz w:val="24"/>
          <w:szCs w:val="24"/>
          <w:lang w:val="ro-RO" w:eastAsia="en-US" w:bidi="ar-SA"/>
        </w:rPr>
        <w:t>15 privind Codul fiscal, cu modificările și completările ulterioare, î</w:t>
      </w:r>
      <w:r>
        <w:rPr>
          <w:rFonts w:hint="default" w:ascii="Trebuchet MS" w:hAnsi="Trebuchet MS"/>
          <w:color w:val="auto"/>
          <w:sz w:val="24"/>
          <w:szCs w:val="24"/>
          <w:lang w:val="ro-RO" w:eastAsia="en-US"/>
        </w:rPr>
        <w:t xml:space="preserve">n cazul în care valoarea stabilită potrivit art.25 alin.(4) lit.i) din același act normativ, diminuată cu sumele reportate, după caz, nu a fost utilizată integral, contribuabilii pot dispune redirecţionarea impozitului pe profit, în limita valorii astfel calculate, pentru efectuarea de sponsorizări şi/sau acte de mecenat până la termenele de depunere a declaraţiei anuale de impozit pe profit, prin depunerea unui/unor formular/formulare de redirecţionare. </w:t>
      </w:r>
    </w:p>
    <w:p>
      <w:pPr>
        <w:pStyle w:val="11"/>
        <w:spacing w:before="0" w:after="160" w:line="240" w:lineRule="auto"/>
        <w:jc w:val="both"/>
        <w:rPr>
          <w:rFonts w:hint="default" w:ascii="Trebuchet MS" w:hAnsi="Trebuchet MS"/>
          <w:color w:val="auto"/>
          <w:sz w:val="24"/>
          <w:szCs w:val="24"/>
          <w:lang w:val="ro-RO"/>
        </w:rPr>
      </w:pPr>
      <w:r>
        <w:rPr>
          <w:rFonts w:hint="default" w:ascii="Trebuchet MS" w:hAnsi="Trebuchet MS"/>
          <w:color w:val="auto"/>
          <w:sz w:val="24"/>
          <w:szCs w:val="24"/>
          <w:lang w:val="ro-RO"/>
        </w:rPr>
        <w:t>Procedura privind redirecţionarea impozitului pe profit, potrivit legii, pentru efectuarea de sponsorizări şi/sau acte de mecenat a fost aprobată prin Ordinul președintelui Agenției Naționale de Administrare Fiscală nr.3562/2024.</w:t>
      </w:r>
    </w:p>
    <w:p>
      <w:pPr>
        <w:pStyle w:val="11"/>
        <w:keepNext w:val="0"/>
        <w:keepLines w:val="0"/>
        <w:pageBreakBefore w:val="0"/>
        <w:widowControl/>
        <w:kinsoku/>
        <w:wordWrap/>
        <w:overflowPunct/>
        <w:topLinePunct w:val="0"/>
        <w:autoSpaceDE/>
        <w:autoSpaceDN/>
        <w:bidi w:val="0"/>
        <w:adjustRightInd/>
        <w:snapToGrid/>
        <w:spacing w:before="0" w:after="160" w:line="240" w:lineRule="auto"/>
        <w:jc w:val="both"/>
        <w:textAlignment w:val="auto"/>
        <w:outlineLvl w:val="9"/>
        <w:rPr>
          <w:rFonts w:hint="default" w:ascii="Trebuchet MS" w:hAnsi="Trebuchet MS"/>
          <w:color w:val="auto"/>
          <w:sz w:val="24"/>
          <w:szCs w:val="24"/>
          <w:lang w:val="ro-RO"/>
        </w:rPr>
      </w:pPr>
      <w:r>
        <w:rPr>
          <w:rFonts w:hint="default" w:ascii="Trebuchet MS" w:hAnsi="Trebuchet MS"/>
          <w:color w:val="auto"/>
          <w:sz w:val="24"/>
          <w:szCs w:val="24"/>
          <w:lang w:val="en-US"/>
        </w:rPr>
        <w:t>Referitor la procedura men</w:t>
      </w:r>
      <w:r>
        <w:rPr>
          <w:rFonts w:hint="default" w:ascii="Trebuchet MS" w:hAnsi="Trebuchet MS"/>
          <w:color w:val="auto"/>
          <w:sz w:val="24"/>
          <w:szCs w:val="24"/>
          <w:lang w:val="ro-RO"/>
        </w:rPr>
        <w:t>ț</w:t>
      </w:r>
      <w:r>
        <w:rPr>
          <w:rFonts w:hint="default" w:ascii="Trebuchet MS" w:hAnsi="Trebuchet MS"/>
          <w:color w:val="auto"/>
          <w:sz w:val="24"/>
          <w:szCs w:val="24"/>
          <w:lang w:val="en-US"/>
        </w:rPr>
        <w:t>ionat</w:t>
      </w:r>
      <w:r>
        <w:rPr>
          <w:rFonts w:hint="default" w:ascii="Trebuchet MS" w:hAnsi="Trebuchet MS"/>
          <w:color w:val="auto"/>
          <w:sz w:val="24"/>
          <w:szCs w:val="24"/>
          <w:lang w:val="ro-RO"/>
        </w:rPr>
        <w:t xml:space="preserve">ă, ca urmare a </w:t>
      </w:r>
      <w:r>
        <w:rPr>
          <w:rFonts w:hint="default" w:ascii="Trebuchet MS" w:hAnsi="Trebuchet MS"/>
          <w:color w:val="auto"/>
          <w:sz w:val="24"/>
          <w:szCs w:val="24"/>
          <w:lang w:val="en-US"/>
        </w:rPr>
        <w:t xml:space="preserve">unor </w:t>
      </w:r>
      <w:r>
        <w:rPr>
          <w:rFonts w:hint="default" w:ascii="Trebuchet MS" w:hAnsi="Trebuchet MS"/>
          <w:color w:val="auto"/>
          <w:sz w:val="24"/>
          <w:szCs w:val="24"/>
          <w:lang w:val="ro-RO"/>
        </w:rPr>
        <w:t xml:space="preserve">solicitări </w:t>
      </w:r>
      <w:r>
        <w:rPr>
          <w:rFonts w:hint="default" w:ascii="Trebuchet MS" w:hAnsi="Trebuchet MS"/>
          <w:color w:val="auto"/>
          <w:sz w:val="24"/>
          <w:szCs w:val="24"/>
          <w:lang w:val="en-US"/>
        </w:rPr>
        <w:t>primite</w:t>
      </w:r>
      <w:r>
        <w:rPr>
          <w:rFonts w:hint="default" w:ascii="Trebuchet MS" w:hAnsi="Trebuchet MS"/>
          <w:color w:val="auto"/>
          <w:sz w:val="24"/>
          <w:szCs w:val="24"/>
          <w:lang w:val="ro-RO"/>
        </w:rPr>
        <w:t xml:space="preserve"> din partea organelor</w:t>
      </w:r>
      <w:r>
        <w:rPr>
          <w:rFonts w:hint="default" w:ascii="Trebuchet MS" w:hAnsi="Trebuchet MS"/>
          <w:color w:val="auto"/>
          <w:sz w:val="24"/>
          <w:szCs w:val="24"/>
          <w:lang w:val="en-US"/>
        </w:rPr>
        <w:t xml:space="preserve"> fiscale</w:t>
      </w:r>
      <w:r>
        <w:rPr>
          <w:rFonts w:hint="default" w:ascii="Trebuchet MS" w:hAnsi="Trebuchet MS"/>
          <w:color w:val="auto"/>
          <w:sz w:val="24"/>
          <w:szCs w:val="24"/>
          <w:lang w:val="ro-RO"/>
        </w:rPr>
        <w:t xml:space="preserve"> teritoriale, precum și pentru a veni în sprijinul contribuabililor, propunem următoarele:</w:t>
      </w:r>
    </w:p>
    <w:p>
      <w:pPr>
        <w:pStyle w:val="11"/>
        <w:keepNext w:val="0"/>
        <w:keepLines w:val="0"/>
        <w:pageBreakBefore w:val="0"/>
        <w:widowControl/>
        <w:kinsoku/>
        <w:wordWrap/>
        <w:overflowPunct/>
        <w:topLinePunct w:val="0"/>
        <w:autoSpaceDE/>
        <w:autoSpaceDN/>
        <w:bidi w:val="0"/>
        <w:adjustRightInd/>
        <w:snapToGrid/>
        <w:spacing w:before="0" w:after="0" w:line="240" w:lineRule="auto"/>
        <w:jc w:val="both"/>
        <w:textAlignment w:val="auto"/>
        <w:outlineLvl w:val="9"/>
        <w:rPr>
          <w:rFonts w:hint="default" w:ascii="Trebuchet MS" w:hAnsi="Trebuchet MS"/>
          <w:color w:val="auto"/>
          <w:sz w:val="24"/>
          <w:szCs w:val="24"/>
          <w:lang w:val="ro-RO"/>
        </w:rPr>
      </w:pPr>
      <w:r>
        <w:rPr>
          <w:rFonts w:hint="default" w:ascii="Trebuchet MS" w:hAnsi="Trebuchet MS"/>
          <w:color w:val="auto"/>
          <w:sz w:val="24"/>
          <w:szCs w:val="24"/>
          <w:lang w:val="ro-RO"/>
        </w:rPr>
        <w:t>-  introducerea unor dispoziții cu privire la notificarea contribuabilului care optează să redirecționeze o sumă din impozitul pe profit care depășește valoarea reprezentând 20% din impozitul datorat. Ca urmare a notificării primite, contribuabilul are posibilitatea de a depune o nouă cerere de redirecționare</w:t>
      </w:r>
      <w:r>
        <w:rPr>
          <w:rFonts w:hint="default" w:ascii="Trebuchet MS" w:hAnsi="Trebuchet MS"/>
          <w:color w:val="auto"/>
          <w:sz w:val="24"/>
          <w:szCs w:val="24"/>
          <w:lang w:val="en-US"/>
        </w:rPr>
        <w:t xml:space="preserve">, </w:t>
      </w:r>
      <w:r>
        <w:rPr>
          <w:rFonts w:hint="default" w:ascii="Trebuchet MS" w:hAnsi="Trebuchet MS"/>
          <w:color w:val="auto"/>
          <w:sz w:val="24"/>
          <w:szCs w:val="24"/>
          <w:lang w:val="ro-RO"/>
        </w:rPr>
        <w:t>în termenul prevăzut de lege;</w:t>
      </w:r>
    </w:p>
    <w:p>
      <w:pPr>
        <w:pStyle w:val="11"/>
        <w:keepNext w:val="0"/>
        <w:keepLines w:val="0"/>
        <w:pageBreakBefore w:val="0"/>
        <w:widowControl/>
        <w:kinsoku/>
        <w:wordWrap/>
        <w:overflowPunct/>
        <w:topLinePunct w:val="0"/>
        <w:autoSpaceDE/>
        <w:autoSpaceDN/>
        <w:bidi w:val="0"/>
        <w:adjustRightInd/>
        <w:snapToGrid/>
        <w:spacing w:before="0" w:after="0" w:line="240" w:lineRule="auto"/>
        <w:jc w:val="both"/>
        <w:textAlignment w:val="auto"/>
        <w:outlineLvl w:val="9"/>
        <w:rPr>
          <w:rFonts w:hint="default" w:ascii="Trebuchet MS" w:hAnsi="Trebuchet MS"/>
          <w:color w:val="auto"/>
          <w:sz w:val="24"/>
          <w:szCs w:val="24"/>
          <w:lang w:val="ro-RO"/>
        </w:rPr>
      </w:pPr>
      <w:r>
        <w:rPr>
          <w:rFonts w:hint="default" w:ascii="Trebuchet MS" w:hAnsi="Trebuchet MS" w:cs="Trebuchet MS"/>
          <w:color w:val="auto"/>
          <w:sz w:val="24"/>
          <w:szCs w:val="24"/>
          <w:lang w:val="ro-RO"/>
        </w:rPr>
        <w:t xml:space="preserve">- modificarea modelului de notificare </w:t>
      </w:r>
      <w:r>
        <w:rPr>
          <w:rFonts w:hint="default" w:ascii="Trebuchet MS" w:hAnsi="Trebuchet MS"/>
          <w:color w:val="auto"/>
          <w:sz w:val="24"/>
          <w:szCs w:val="24"/>
          <w:lang w:val="ro-RO"/>
        </w:rPr>
        <w:t>privind modul de soluționare a cererii de redirecționare a impozitului pe profit, care să vizeze și situația în care o parte din beneficiari îndeplinesc condițiile legale necesare pentru redirecționare iar o parte nu îndeplinesc aceste condiții, prin menționarea acestora din urmă;</w:t>
      </w:r>
    </w:p>
    <w:p>
      <w:pPr>
        <w:pStyle w:val="11"/>
        <w:keepNext w:val="0"/>
        <w:keepLines w:val="0"/>
        <w:pageBreakBefore w:val="0"/>
        <w:widowControl/>
        <w:kinsoku/>
        <w:wordWrap/>
        <w:overflowPunct/>
        <w:topLinePunct w:val="0"/>
        <w:autoSpaceDE/>
        <w:autoSpaceDN/>
        <w:bidi w:val="0"/>
        <w:adjustRightInd/>
        <w:snapToGrid/>
        <w:spacing w:before="0" w:after="0" w:line="240" w:lineRule="auto"/>
        <w:jc w:val="both"/>
        <w:textAlignment w:val="auto"/>
        <w:outlineLvl w:val="9"/>
        <w:rPr>
          <w:rFonts w:hint="default" w:ascii="Trebuchet MS" w:hAnsi="Trebuchet MS"/>
          <w:color w:val="auto"/>
          <w:sz w:val="24"/>
          <w:szCs w:val="24"/>
          <w:lang w:val="ro-RO"/>
        </w:rPr>
      </w:pPr>
      <w:r>
        <w:rPr>
          <w:rFonts w:hint="default" w:ascii="Trebuchet MS" w:hAnsi="Trebuchet MS"/>
          <w:color w:val="auto"/>
          <w:sz w:val="24"/>
          <w:szCs w:val="24"/>
          <w:lang w:val="ro-RO"/>
        </w:rPr>
        <w:t>- respingerea Cererii de redirecționare a impozitului pe profit (formular 177) în situația în care, în momentul verificării, compartimentul de specialitate constată că nu sunt stinse obligațiile fiscale reprezentând impozitul pe profit aferent anului fiscal pentru care se solicită redirecționarea. Conform procedurii de redirecționare în vigoare, cererea se respinge în cazul în care, compartimentul de specialitate constată că obligațiile fiscale menționate nu sunt stinse după expirarea unui termen de 45 de zile de la scadență;</w:t>
      </w:r>
    </w:p>
    <w:p>
      <w:pPr>
        <w:pStyle w:val="11"/>
        <w:spacing w:before="0" w:after="160" w:line="240" w:lineRule="auto"/>
        <w:jc w:val="both"/>
        <w:rPr>
          <w:rFonts w:hint="default" w:ascii="Trebuchet MS" w:hAnsi="Trebuchet MS"/>
          <w:color w:val="auto"/>
          <w:sz w:val="24"/>
          <w:szCs w:val="24"/>
          <w:lang w:val="en-US"/>
        </w:rPr>
      </w:pPr>
      <w:r>
        <w:rPr>
          <w:rFonts w:hint="default" w:ascii="Trebuchet MS" w:hAnsi="Trebuchet MS"/>
          <w:color w:val="auto"/>
          <w:sz w:val="24"/>
          <w:szCs w:val="24"/>
          <w:lang w:val="ro-RO"/>
        </w:rPr>
        <w:t xml:space="preserve">- introducerea în procedură a unor dispoziții prin care să se clarifice faptul că </w:t>
      </w:r>
      <w:r>
        <w:rPr>
          <w:rFonts w:hint="default" w:ascii="Trebuchet MS" w:hAnsi="Trebuchet MS"/>
          <w:color w:val="auto"/>
          <w:sz w:val="24"/>
          <w:szCs w:val="24"/>
          <w:lang w:val="en-US"/>
        </w:rPr>
        <w:t>verificarea stingerii obliga</w:t>
      </w:r>
      <w:r>
        <w:rPr>
          <w:rFonts w:hint="default" w:ascii="Trebuchet MS" w:hAnsi="Trebuchet MS"/>
          <w:color w:val="auto"/>
          <w:sz w:val="24"/>
          <w:szCs w:val="24"/>
          <w:lang w:val="ro-RO"/>
        </w:rPr>
        <w:t>ț</w:t>
      </w:r>
      <w:r>
        <w:rPr>
          <w:rFonts w:hint="default" w:ascii="Trebuchet MS" w:hAnsi="Trebuchet MS"/>
          <w:color w:val="auto"/>
          <w:sz w:val="24"/>
          <w:szCs w:val="24"/>
          <w:lang w:val="en-US"/>
        </w:rPr>
        <w:t>iilor fiscale reprezent</w:t>
      </w:r>
      <w:r>
        <w:rPr>
          <w:rFonts w:hint="default" w:ascii="Trebuchet MS" w:hAnsi="Trebuchet MS"/>
          <w:color w:val="auto"/>
          <w:sz w:val="24"/>
          <w:szCs w:val="24"/>
          <w:lang w:val="ro-RO"/>
        </w:rPr>
        <w:t>â</w:t>
      </w:r>
      <w:r>
        <w:rPr>
          <w:rFonts w:hint="default" w:ascii="Trebuchet MS" w:hAnsi="Trebuchet MS"/>
          <w:color w:val="auto"/>
          <w:sz w:val="24"/>
          <w:szCs w:val="24"/>
          <w:lang w:val="en-US"/>
        </w:rPr>
        <w:t>nd impozitul pe profit anual se face prin func</w:t>
      </w:r>
      <w:r>
        <w:rPr>
          <w:rFonts w:hint="default" w:ascii="Trebuchet MS" w:hAnsi="Trebuchet MS"/>
          <w:color w:val="auto"/>
          <w:sz w:val="24"/>
          <w:szCs w:val="24"/>
          <w:lang w:val="ro-RO"/>
        </w:rPr>
        <w:t>ț</w:t>
      </w:r>
      <w:r>
        <w:rPr>
          <w:rFonts w:hint="default" w:ascii="Trebuchet MS" w:hAnsi="Trebuchet MS"/>
          <w:color w:val="auto"/>
          <w:sz w:val="24"/>
          <w:szCs w:val="24"/>
          <w:lang w:val="en-US"/>
        </w:rPr>
        <w:t>iile aplica</w:t>
      </w:r>
      <w:r>
        <w:rPr>
          <w:rFonts w:hint="default" w:ascii="Trebuchet MS" w:hAnsi="Trebuchet MS"/>
          <w:color w:val="auto"/>
          <w:sz w:val="24"/>
          <w:szCs w:val="24"/>
          <w:lang w:val="ro-RO"/>
        </w:rPr>
        <w:t>ț</w:t>
      </w:r>
      <w:r>
        <w:rPr>
          <w:rFonts w:hint="default" w:ascii="Trebuchet MS" w:hAnsi="Trebuchet MS"/>
          <w:color w:val="auto"/>
          <w:sz w:val="24"/>
          <w:szCs w:val="24"/>
          <w:lang w:val="en-US"/>
        </w:rPr>
        <w:t>iei informatice dezvoltate de c</w:t>
      </w:r>
      <w:r>
        <w:rPr>
          <w:rFonts w:hint="default" w:ascii="Trebuchet MS" w:hAnsi="Trebuchet MS"/>
          <w:color w:val="auto"/>
          <w:sz w:val="24"/>
          <w:szCs w:val="24"/>
          <w:lang w:val="ro-RO"/>
        </w:rPr>
        <w:t>ătre structura de specialitate din cadrul Ministerului Finanțelor.</w:t>
      </w:r>
    </w:p>
    <w:p>
      <w:pPr>
        <w:pStyle w:val="11"/>
        <w:spacing w:before="0" w:after="160" w:line="240" w:lineRule="auto"/>
        <w:jc w:val="both"/>
        <w:rPr>
          <w:rFonts w:hint="default" w:ascii="Trebuchet MS" w:hAnsi="Trebuchet MS" w:cs="Trebuchet MS"/>
          <w:sz w:val="24"/>
          <w:szCs w:val="24"/>
          <w:lang w:val="ro-RO"/>
        </w:rPr>
      </w:pPr>
      <w:r>
        <w:rPr>
          <w:rFonts w:ascii="Trebuchet MS" w:hAnsi="Trebuchet MS" w:cs="Trebuchet MS"/>
          <w:sz w:val="24"/>
          <w:szCs w:val="24"/>
        </w:rPr>
        <w:t>Av</w:t>
      </w:r>
      <w:r>
        <w:rPr>
          <w:rFonts w:ascii="Trebuchet MS" w:hAnsi="Trebuchet MS" w:cs="Trebuchet MS"/>
          <w:sz w:val="24"/>
          <w:szCs w:val="24"/>
          <w:lang w:val="ro-RO"/>
        </w:rPr>
        <w:t xml:space="preserve">ând în vedere </w:t>
      </w:r>
      <w:r>
        <w:rPr>
          <w:rFonts w:hint="default" w:ascii="Trebuchet MS" w:hAnsi="Trebuchet MS" w:cs="Trebuchet MS"/>
          <w:sz w:val="24"/>
          <w:szCs w:val="24"/>
          <w:lang w:val="ro-RO"/>
        </w:rPr>
        <w:t xml:space="preserve">cele </w:t>
      </w:r>
      <w:r>
        <w:rPr>
          <w:rFonts w:ascii="Trebuchet MS" w:hAnsi="Trebuchet MS" w:cs="Trebuchet MS"/>
          <w:sz w:val="24"/>
          <w:szCs w:val="24"/>
          <w:lang w:val="ro-RO"/>
        </w:rPr>
        <w:t xml:space="preserve">mai sus menționate, </w:t>
      </w:r>
      <w:r>
        <w:rPr>
          <w:rFonts w:ascii="Trebuchet MS" w:hAnsi="Trebuchet MS" w:cs="Trebuchet MS"/>
          <w:sz w:val="24"/>
          <w:szCs w:val="24"/>
        </w:rPr>
        <w:t>prin prezentul proiect de ordin</w:t>
      </w:r>
      <w:r>
        <w:rPr>
          <w:rFonts w:ascii="Trebuchet MS" w:hAnsi="Trebuchet MS" w:cs="Trebuchet MS"/>
          <w:sz w:val="24"/>
          <w:szCs w:val="24"/>
          <w:lang w:val="ro-RO"/>
        </w:rPr>
        <w:t xml:space="preserve"> se propune</w:t>
      </w:r>
      <w:r>
        <w:rPr>
          <w:rFonts w:hint="default" w:ascii="Trebuchet MS" w:hAnsi="Trebuchet MS" w:cs="Trebuchet MS"/>
          <w:sz w:val="24"/>
          <w:szCs w:val="24"/>
          <w:lang w:val="ro-RO"/>
        </w:rPr>
        <w:t>:</w:t>
      </w:r>
    </w:p>
    <w:p>
      <w:pPr>
        <w:pStyle w:val="11"/>
        <w:keepNext w:val="0"/>
        <w:keepLines w:val="0"/>
        <w:pageBreakBefore w:val="0"/>
        <w:widowControl/>
        <w:kinsoku/>
        <w:wordWrap/>
        <w:overflowPunct/>
        <w:topLinePunct w:val="0"/>
        <w:autoSpaceDE/>
        <w:autoSpaceDN/>
        <w:bidi w:val="0"/>
        <w:adjustRightInd/>
        <w:snapToGrid/>
        <w:spacing w:before="0" w:after="0" w:line="240" w:lineRule="auto"/>
        <w:jc w:val="both"/>
        <w:textAlignment w:val="auto"/>
        <w:outlineLvl w:val="9"/>
        <w:rPr>
          <w:rFonts w:hint="default" w:ascii="Trebuchet MS" w:hAnsi="Trebuchet MS"/>
          <w:sz w:val="24"/>
          <w:szCs w:val="24"/>
          <w:lang w:val="ro-RO"/>
        </w:rPr>
      </w:pPr>
      <w:r>
        <w:rPr>
          <w:rFonts w:hint="default" w:ascii="Trebuchet MS" w:hAnsi="Trebuchet MS" w:cs="Trebuchet MS"/>
          <w:sz w:val="24"/>
          <w:szCs w:val="24"/>
          <w:lang w:val="ro-RO"/>
        </w:rPr>
        <w:t>- modificarea</w:t>
      </w:r>
      <w:r>
        <w:rPr>
          <w:rFonts w:hint="default" w:ascii="Trebuchet MS" w:hAnsi="Trebuchet MS" w:cs="Trebuchet MS"/>
          <w:sz w:val="24"/>
          <w:szCs w:val="24"/>
          <w:lang w:val="en-US"/>
        </w:rPr>
        <w:t xml:space="preserve"> </w:t>
      </w:r>
      <w:r>
        <w:rPr>
          <w:rFonts w:hint="default" w:ascii="Trebuchet MS" w:hAnsi="Trebuchet MS" w:cs="Trebuchet MS"/>
          <w:sz w:val="24"/>
          <w:szCs w:val="24"/>
          <w:lang w:val="ro-RO"/>
        </w:rPr>
        <w:t>„P</w:t>
      </w:r>
      <w:r>
        <w:rPr>
          <w:rFonts w:ascii="Trebuchet MS" w:hAnsi="Trebuchet MS"/>
          <w:sz w:val="24"/>
          <w:szCs w:val="24"/>
          <w:lang w:val="ro-RO"/>
        </w:rPr>
        <w:t>rocedur</w:t>
      </w:r>
      <w:r>
        <w:rPr>
          <w:rFonts w:hint="default" w:ascii="Trebuchet MS" w:hAnsi="Trebuchet MS"/>
          <w:sz w:val="24"/>
          <w:szCs w:val="24"/>
          <w:lang w:val="en-US"/>
        </w:rPr>
        <w:t xml:space="preserve">ii </w:t>
      </w:r>
      <w:r>
        <w:rPr>
          <w:rFonts w:hint="default" w:ascii="Trebuchet MS" w:hAnsi="Trebuchet MS"/>
          <w:sz w:val="24"/>
          <w:szCs w:val="24"/>
          <w:lang w:val="ro-RO"/>
        </w:rPr>
        <w:t>privind</w:t>
      </w:r>
      <w:r>
        <w:rPr>
          <w:rFonts w:ascii="Trebuchet MS" w:hAnsi="Trebuchet MS"/>
          <w:sz w:val="24"/>
          <w:szCs w:val="24"/>
          <w:lang w:val="ro-RO"/>
        </w:rPr>
        <w:t xml:space="preserve"> redirecţionarea impozitului pe profit, potrivit legii, pentru efectuarea de sponsorizări şi/sau acte de mecenat</w:t>
      </w:r>
      <w:r>
        <w:rPr>
          <w:rFonts w:hint="default" w:ascii="Trebuchet MS" w:hAnsi="Trebuchet MS"/>
          <w:sz w:val="24"/>
          <w:szCs w:val="24"/>
          <w:lang w:val="en-US"/>
        </w:rPr>
        <w:t>”</w:t>
      </w:r>
      <w:r>
        <w:rPr>
          <w:rFonts w:hint="default" w:ascii="Trebuchet MS" w:hAnsi="Trebuchet MS"/>
          <w:sz w:val="24"/>
          <w:szCs w:val="24"/>
          <w:lang w:val="ro-RO"/>
        </w:rPr>
        <w:t xml:space="preserve"> (Anexa nr.1 la Ordinul președintelui Agenției Naționale de Administrare Fiscală nr.3562/2024);</w:t>
      </w:r>
    </w:p>
    <w:p>
      <w:pPr>
        <w:pStyle w:val="11"/>
        <w:keepNext w:val="0"/>
        <w:keepLines w:val="0"/>
        <w:pageBreakBefore w:val="0"/>
        <w:widowControl/>
        <w:kinsoku/>
        <w:wordWrap/>
        <w:overflowPunct/>
        <w:topLinePunct w:val="0"/>
        <w:autoSpaceDE/>
        <w:autoSpaceDN/>
        <w:bidi w:val="0"/>
        <w:adjustRightInd/>
        <w:snapToGrid/>
        <w:spacing w:before="0" w:after="0" w:line="240" w:lineRule="auto"/>
        <w:jc w:val="both"/>
        <w:textAlignment w:val="auto"/>
        <w:outlineLvl w:val="9"/>
        <w:rPr>
          <w:rFonts w:hint="default" w:ascii="Trebuchet MS" w:hAnsi="Trebuchet MS"/>
          <w:sz w:val="24"/>
          <w:szCs w:val="24"/>
          <w:lang w:val="ro-RO"/>
        </w:rPr>
      </w:pPr>
      <w:r>
        <w:rPr>
          <w:rFonts w:hint="default" w:ascii="Trebuchet MS" w:hAnsi="Trebuchet MS"/>
          <w:sz w:val="24"/>
          <w:szCs w:val="24"/>
          <w:lang w:val="ro-RO"/>
        </w:rPr>
        <w:t>- modificarea formularului „Notificare privind modul de soluționare a cererii de redirecționare a impozitului pe profit</w:t>
      </w:r>
      <w:r>
        <w:rPr>
          <w:rFonts w:hint="default" w:ascii="Trebuchet MS" w:hAnsi="Trebuchet MS"/>
          <w:sz w:val="24"/>
          <w:szCs w:val="24"/>
          <w:lang w:val="en-US"/>
        </w:rPr>
        <w:t>”</w:t>
      </w:r>
      <w:r>
        <w:rPr>
          <w:rFonts w:hint="default" w:ascii="Trebuchet MS" w:hAnsi="Trebuchet MS"/>
          <w:sz w:val="24"/>
          <w:szCs w:val="24"/>
          <w:lang w:val="ro-RO"/>
        </w:rPr>
        <w:t xml:space="preserve"> (Anexa nr.4 la Ordinul președintelui Agenției Naționale de Administrare Fiscală nr.3562/2024).</w:t>
      </w:r>
    </w:p>
    <w:p>
      <w:pPr>
        <w:jc w:val="both"/>
        <w:rPr>
          <w:rFonts w:ascii="Trebuchet MS" w:hAnsi="Trebuchet MS"/>
          <w:sz w:val="24"/>
          <w:szCs w:val="24"/>
        </w:rPr>
      </w:pPr>
    </w:p>
    <w:sectPr>
      <w:footerReference r:id="rId5" w:type="default"/>
      <w:pgSz w:w="11906" w:h="16838"/>
      <w:pgMar w:top="605" w:right="950" w:bottom="922" w:left="1308" w:header="0" w:footer="0" w:gutter="0"/>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Vivienne Rom">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ajan Pro">
    <w:panose1 w:val="02020502050506020301"/>
    <w:charset w:val="00"/>
    <w:family w:val="roman"/>
    <w:pitch w:val="default"/>
    <w:sig w:usb0="800000AF" w:usb1="5000204B" w:usb2="00000000" w:usb3="00000000" w:csb0="0000009B" w:csb1="00000000"/>
  </w:font>
  <w:font w:name="Trebuchet MS">
    <w:panose1 w:val="020B0603020202020204"/>
    <w:charset w:val="00"/>
    <w:family w:val="swiss"/>
    <w:pitch w:val="default"/>
    <w:sig w:usb0="00000687" w:usb1="00000000" w:usb2="00000000" w:usb3="00000000" w:csb0="2000009F" w:csb1="00000000"/>
  </w:font>
  <w:font w:name="Franklin Gothic Demi">
    <w:panose1 w:val="020B0703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2104826"/>
    </w:sdtPr>
    <w:sdtContent>
      <w:p>
        <w:pPr>
          <w:pStyle w:val="7"/>
        </w:pPr>
      </w:p>
      <w:p>
        <w:pPr>
          <w:pStyle w:val="7"/>
          <w:rPr>
            <w:rFonts w:ascii="Trebuchet MS" w:hAnsi="Trebuchet MS"/>
          </w:rPr>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7"/>
          <w:jc w:val="right"/>
        </w:pPr>
        <w:r>
          <w:t xml:space="preserve">Page </w:t>
        </w:r>
        <w:r>
          <w:rPr>
            <w:bCs/>
            <w:sz w:val="24"/>
            <w:szCs w:val="24"/>
          </w:rPr>
          <w:fldChar w:fldCharType="begin"/>
        </w:r>
        <w:r>
          <w:rPr>
            <w:bCs/>
            <w:sz w:val="24"/>
            <w:szCs w:val="24"/>
          </w:rPr>
          <w:instrText xml:space="preserve">PAGE</w:instrText>
        </w:r>
        <w:r>
          <w:rPr>
            <w:bCs/>
            <w:sz w:val="24"/>
            <w:szCs w:val="24"/>
          </w:rPr>
          <w:fldChar w:fldCharType="separate"/>
        </w:r>
        <w:r>
          <w:rPr>
            <w:bCs/>
            <w:sz w:val="24"/>
            <w:szCs w:val="24"/>
          </w:rPr>
          <w:t>1</w:t>
        </w:r>
        <w:r>
          <w:rPr>
            <w:bCs/>
            <w:sz w:val="24"/>
            <w:szCs w:val="24"/>
          </w:rPr>
          <w:fldChar w:fldCharType="end"/>
        </w:r>
        <w:r>
          <w:rPr>
            <w:bCs/>
            <w:sz w:val="24"/>
            <w:szCs w:val="24"/>
          </w:rPr>
          <w:t>/</w:t>
        </w:r>
        <w:r>
          <w:rPr>
            <w:bCs/>
            <w:sz w:val="24"/>
            <w:szCs w:val="24"/>
          </w:rPr>
          <w:fldChar w:fldCharType="begin"/>
        </w:r>
        <w:r>
          <w:rPr>
            <w:bCs/>
            <w:sz w:val="24"/>
            <w:szCs w:val="24"/>
          </w:rPr>
          <w:instrText xml:space="preserve">NUMPAGES</w:instrText>
        </w:r>
        <w:r>
          <w:rPr>
            <w:bCs/>
            <w:sz w:val="24"/>
            <w:szCs w:val="24"/>
          </w:rPr>
          <w:fldChar w:fldCharType="separate"/>
        </w:r>
        <w:r>
          <w:rPr>
            <w:bCs/>
            <w:sz w:val="24"/>
            <w:szCs w:val="24"/>
          </w:rPr>
          <w:t>1</w:t>
        </w:r>
        <w:r>
          <w:rPr>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3D03"/>
    <w:rsid w:val="00172A27"/>
    <w:rsid w:val="002B1AC3"/>
    <w:rsid w:val="00386634"/>
    <w:rsid w:val="004854D3"/>
    <w:rsid w:val="00670F94"/>
    <w:rsid w:val="00704A38"/>
    <w:rsid w:val="00DD04E5"/>
    <w:rsid w:val="00DE4951"/>
    <w:rsid w:val="01A71C06"/>
    <w:rsid w:val="01DF40E7"/>
    <w:rsid w:val="04626876"/>
    <w:rsid w:val="0637747B"/>
    <w:rsid w:val="066F1682"/>
    <w:rsid w:val="06A85C60"/>
    <w:rsid w:val="07E3589F"/>
    <w:rsid w:val="08CA08ED"/>
    <w:rsid w:val="092D47B0"/>
    <w:rsid w:val="09604EDA"/>
    <w:rsid w:val="09F32A10"/>
    <w:rsid w:val="0BBB4165"/>
    <w:rsid w:val="0C487F22"/>
    <w:rsid w:val="0D2A6A66"/>
    <w:rsid w:val="0E35417C"/>
    <w:rsid w:val="0E552FF5"/>
    <w:rsid w:val="0E5E783B"/>
    <w:rsid w:val="102E4C5D"/>
    <w:rsid w:val="11074E10"/>
    <w:rsid w:val="116E2186"/>
    <w:rsid w:val="121915F7"/>
    <w:rsid w:val="13746661"/>
    <w:rsid w:val="13FE15EF"/>
    <w:rsid w:val="1413679E"/>
    <w:rsid w:val="14A01A02"/>
    <w:rsid w:val="153A6E90"/>
    <w:rsid w:val="15FE5955"/>
    <w:rsid w:val="17C430FE"/>
    <w:rsid w:val="184B22F8"/>
    <w:rsid w:val="188E4975"/>
    <w:rsid w:val="18B600EE"/>
    <w:rsid w:val="18F561A4"/>
    <w:rsid w:val="191A183E"/>
    <w:rsid w:val="1A6C15A3"/>
    <w:rsid w:val="1AC2186C"/>
    <w:rsid w:val="1CB75DB0"/>
    <w:rsid w:val="1DC342EF"/>
    <w:rsid w:val="1E731CB1"/>
    <w:rsid w:val="1EB43949"/>
    <w:rsid w:val="1F144040"/>
    <w:rsid w:val="20A6733F"/>
    <w:rsid w:val="21076A9B"/>
    <w:rsid w:val="21F0506C"/>
    <w:rsid w:val="22311BF6"/>
    <w:rsid w:val="231613F9"/>
    <w:rsid w:val="23D53F7D"/>
    <w:rsid w:val="24B42108"/>
    <w:rsid w:val="257537F8"/>
    <w:rsid w:val="25EE4103"/>
    <w:rsid w:val="26AB05CB"/>
    <w:rsid w:val="271B4883"/>
    <w:rsid w:val="2721571A"/>
    <w:rsid w:val="283468B0"/>
    <w:rsid w:val="28C8250F"/>
    <w:rsid w:val="28E57F3C"/>
    <w:rsid w:val="2933070D"/>
    <w:rsid w:val="29F311A1"/>
    <w:rsid w:val="2A43397A"/>
    <w:rsid w:val="2BBB2EB2"/>
    <w:rsid w:val="2D9E5898"/>
    <w:rsid w:val="2DD942D8"/>
    <w:rsid w:val="2DDC0F11"/>
    <w:rsid w:val="2E0C3A16"/>
    <w:rsid w:val="2E3F4230"/>
    <w:rsid w:val="2EB37F7C"/>
    <w:rsid w:val="2ED04F66"/>
    <w:rsid w:val="2F241FCB"/>
    <w:rsid w:val="2FA772B8"/>
    <w:rsid w:val="2FB63537"/>
    <w:rsid w:val="2FCC4ED1"/>
    <w:rsid w:val="306C0789"/>
    <w:rsid w:val="319E384B"/>
    <w:rsid w:val="32355210"/>
    <w:rsid w:val="329D53F6"/>
    <w:rsid w:val="32AE70BE"/>
    <w:rsid w:val="32DA78C7"/>
    <w:rsid w:val="340D063A"/>
    <w:rsid w:val="359411A1"/>
    <w:rsid w:val="35B848DE"/>
    <w:rsid w:val="37300181"/>
    <w:rsid w:val="38D9077C"/>
    <w:rsid w:val="398367B0"/>
    <w:rsid w:val="3A527327"/>
    <w:rsid w:val="3A962C91"/>
    <w:rsid w:val="3D4C5F94"/>
    <w:rsid w:val="3EEF54C7"/>
    <w:rsid w:val="3FCF6241"/>
    <w:rsid w:val="406801AF"/>
    <w:rsid w:val="40EF7456"/>
    <w:rsid w:val="41F11862"/>
    <w:rsid w:val="440554E0"/>
    <w:rsid w:val="460777A9"/>
    <w:rsid w:val="46266953"/>
    <w:rsid w:val="4699209E"/>
    <w:rsid w:val="46D26D0D"/>
    <w:rsid w:val="46D87E78"/>
    <w:rsid w:val="47542252"/>
    <w:rsid w:val="48CD3843"/>
    <w:rsid w:val="4A8063A5"/>
    <w:rsid w:val="4C2B07B0"/>
    <w:rsid w:val="4D456EE2"/>
    <w:rsid w:val="4E101F7B"/>
    <w:rsid w:val="4F2D3769"/>
    <w:rsid w:val="4FB505E5"/>
    <w:rsid w:val="50615279"/>
    <w:rsid w:val="50DA4426"/>
    <w:rsid w:val="51BB4A66"/>
    <w:rsid w:val="52030EA6"/>
    <w:rsid w:val="52F97879"/>
    <w:rsid w:val="5447048D"/>
    <w:rsid w:val="54F860E9"/>
    <w:rsid w:val="553007CF"/>
    <w:rsid w:val="55B73944"/>
    <w:rsid w:val="583C5F5D"/>
    <w:rsid w:val="58FC02EC"/>
    <w:rsid w:val="590D4433"/>
    <w:rsid w:val="59DB3ADF"/>
    <w:rsid w:val="5B2A0CEE"/>
    <w:rsid w:val="5DE07592"/>
    <w:rsid w:val="5E186200"/>
    <w:rsid w:val="5EEF6226"/>
    <w:rsid w:val="5F12070B"/>
    <w:rsid w:val="5FE4608A"/>
    <w:rsid w:val="60D60AC0"/>
    <w:rsid w:val="61F700D7"/>
    <w:rsid w:val="62700D45"/>
    <w:rsid w:val="62C02635"/>
    <w:rsid w:val="638D7383"/>
    <w:rsid w:val="64053EC6"/>
    <w:rsid w:val="64D27571"/>
    <w:rsid w:val="65052CF2"/>
    <w:rsid w:val="664643CA"/>
    <w:rsid w:val="69757766"/>
    <w:rsid w:val="699278A6"/>
    <w:rsid w:val="6A8C6701"/>
    <w:rsid w:val="6BCF63E8"/>
    <w:rsid w:val="6C3E23F1"/>
    <w:rsid w:val="6C6B7D70"/>
    <w:rsid w:val="6D2B343B"/>
    <w:rsid w:val="6D4C7896"/>
    <w:rsid w:val="6D7069B2"/>
    <w:rsid w:val="6DD213D7"/>
    <w:rsid w:val="6E0154E6"/>
    <w:rsid w:val="6ECF2631"/>
    <w:rsid w:val="6FFC6AEF"/>
    <w:rsid w:val="707B70D2"/>
    <w:rsid w:val="70DB36AD"/>
    <w:rsid w:val="7111646C"/>
    <w:rsid w:val="71231F88"/>
    <w:rsid w:val="71C51C09"/>
    <w:rsid w:val="71C73228"/>
    <w:rsid w:val="7240115C"/>
    <w:rsid w:val="72AC372A"/>
    <w:rsid w:val="72BE15EB"/>
    <w:rsid w:val="73A72E5B"/>
    <w:rsid w:val="73AD7D52"/>
    <w:rsid w:val="73BD62B1"/>
    <w:rsid w:val="75E10796"/>
    <w:rsid w:val="761E5F53"/>
    <w:rsid w:val="764C225F"/>
    <w:rsid w:val="768F2505"/>
    <w:rsid w:val="77A729B4"/>
    <w:rsid w:val="77F659A7"/>
    <w:rsid w:val="78203FB3"/>
    <w:rsid w:val="78470C59"/>
    <w:rsid w:val="78E46319"/>
    <w:rsid w:val="79D40A69"/>
    <w:rsid w:val="7A1B038B"/>
    <w:rsid w:val="7AC626D5"/>
    <w:rsid w:val="7B100954"/>
    <w:rsid w:val="7B9C5D98"/>
    <w:rsid w:val="7BCC1673"/>
    <w:rsid w:val="7C6D3710"/>
    <w:rsid w:val="7D5C6BC0"/>
    <w:rsid w:val="7E6336A2"/>
    <w:rsid w:val="7E652328"/>
    <w:rsid w:val="7E8D44C9"/>
    <w:rsid w:val="7EF956D8"/>
    <w:rsid w:val="7F072D3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40" w:line="276" w:lineRule="auto"/>
    </w:p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annotation text"/>
    <w:basedOn w:val="1"/>
    <w:semiHidden/>
    <w:unhideWhenUsed/>
    <w:qFormat/>
    <w:uiPriority w:val="99"/>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character" w:styleId="9">
    <w:name w:val="Hyperlink"/>
    <w:basedOn w:val="2"/>
    <w:semiHidden/>
    <w:unhideWhenUsed/>
    <w:qFormat/>
    <w:uiPriority w:val="99"/>
    <w:rPr>
      <w:color w:val="0000FF"/>
      <w:u w:val="single"/>
    </w:rPr>
  </w:style>
  <w:style w:type="paragraph" w:styleId="10">
    <w:name w:val="List"/>
    <w:basedOn w:val="4"/>
    <w:qFormat/>
    <w:uiPriority w:val="0"/>
    <w:rPr>
      <w:rFonts w:cs="Arial"/>
    </w:rPr>
  </w:style>
  <w:style w:type="paragraph" w:styleId="11">
    <w:name w:val="Normal (Web)"/>
    <w:basedOn w:val="1"/>
    <w:qFormat/>
    <w:uiPriority w:val="0"/>
    <w:pPr>
      <w:spacing w:before="280" w:after="280"/>
    </w:pPr>
    <w:rPr>
      <w:color w:val="000000"/>
    </w:r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character" w:customStyle="1" w:styleId="14">
    <w:name w:val="Internet Link"/>
    <w:basedOn w:val="2"/>
    <w:unhideWhenUsed/>
    <w:qFormat/>
    <w:uiPriority w:val="99"/>
    <w:rPr>
      <w:color w:val="0563C1" w:themeColor="hyperlink"/>
      <w:u w:val="single"/>
      <w14:textFill>
        <w14:solidFill>
          <w14:schemeClr w14:val="hlink"/>
        </w14:solidFill>
      </w14:textFill>
    </w:rPr>
  </w:style>
  <w:style w:type="paragraph" w:customStyle="1" w:styleId="15">
    <w:name w:val="Heading"/>
    <w:basedOn w:val="1"/>
    <w:next w:val="4"/>
    <w:qFormat/>
    <w:uiPriority w:val="0"/>
    <w:pPr>
      <w:keepNext/>
      <w:spacing w:before="240" w:after="120"/>
    </w:pPr>
    <w:rPr>
      <w:rFonts w:ascii="Liberation Sans" w:hAnsi="Liberation Sans" w:eastAsia="Microsoft YaHei" w:cs="Arial"/>
      <w:sz w:val="28"/>
      <w:szCs w:val="28"/>
    </w:rPr>
  </w:style>
  <w:style w:type="paragraph" w:customStyle="1" w:styleId="16">
    <w:name w:val="Index"/>
    <w:basedOn w:val="1"/>
    <w:qFormat/>
    <w:uiPriority w:val="0"/>
    <w:pPr>
      <w:suppressLineNumbers/>
    </w:pPr>
    <w:rPr>
      <w:rFonts w:cs="Arial"/>
    </w:rPr>
  </w:style>
  <w:style w:type="paragraph" w:customStyle="1" w:styleId="17">
    <w:name w:val="Caracter Caracter"/>
    <w:basedOn w:val="1"/>
    <w:qFormat/>
    <w:uiPriority w:val="0"/>
    <w:pPr>
      <w:spacing w:after="0" w:line="240" w:lineRule="auto"/>
    </w:pPr>
    <w:rPr>
      <w:rFonts w:ascii="Times New Roman" w:hAnsi="Times New Roman" w:eastAsia="Times New Roman" w:cs="Times New Roman"/>
      <w:sz w:val="24"/>
      <w:szCs w:val="24"/>
      <w:lang w:val="pl-PL" w:eastAsia="pl-PL"/>
    </w:rPr>
  </w:style>
  <w:style w:type="paragraph" w:customStyle="1" w:styleId="18">
    <w:name w:val="Frame Contents"/>
    <w:basedOn w:val="1"/>
    <w:qFormat/>
    <w:uiPriority w:val="0"/>
  </w:style>
  <w:style w:type="paragraph" w:customStyle="1" w:styleId="19">
    <w:name w:val="Default Text:1"/>
    <w:basedOn w:val="1"/>
    <w:qFormat/>
    <w:uiPriority w:val="0"/>
    <w:rPr>
      <w:szCs w:val="20"/>
      <w:lang w:eastAsia="ar-SA"/>
    </w:rPr>
  </w:style>
  <w:style w:type="paragraph" w:customStyle="1" w:styleId="20">
    <w:name w:val="Default Text:2"/>
    <w:basedOn w:val="1"/>
    <w:qFormat/>
    <w:uiPriority w:val="0"/>
    <w:pPr>
      <w:overflowPunct w:val="0"/>
      <w:autoSpaceDE w:val="0"/>
    </w:pPr>
    <w:rPr>
      <w:kern w:val="2"/>
      <w:szCs w:val="20"/>
    </w:rPr>
  </w:style>
  <w:style w:type="paragraph" w:customStyle="1" w:styleId="21">
    <w:name w:val="Default Text"/>
    <w:basedOn w:val="1"/>
    <w:qFormat/>
    <w:uiPriority w:val="0"/>
    <w:pPr>
      <w:autoSpaceDE w:val="0"/>
    </w:pPr>
  </w:style>
  <w:style w:type="paragraph" w:customStyle="1" w:styleId="22">
    <w:name w:val="Caracter Caracter1"/>
    <w:basedOn w:val="1"/>
    <w:qFormat/>
    <w:uiPriority w:val="0"/>
    <w:rPr>
      <w:szCs w:val="24"/>
      <w:lang w:val="pl-PL"/>
    </w:rPr>
  </w:style>
  <w:style w:type="paragraph" w:customStyle="1" w:styleId="23">
    <w:name w:val="Style35001908"/>
    <w:basedOn w:val="1"/>
    <w:qFormat/>
    <w:uiPriority w:val="0"/>
    <w:rPr>
      <w:rFonts w:ascii="Vivienne Rom" w:hAnsi="Vivienne Rom" w:eastAsia="Vivienne Rom" w:cs="Vivienne Rom"/>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Ministerul Finantelor Publice</Company>
  <Pages>2</Pages>
  <Words>526</Words>
  <Characters>3003</Characters>
  <Lines>25</Lines>
  <Paragraphs>7</Paragraphs>
  <TotalTime>2</TotalTime>
  <ScaleCrop>false</ScaleCrop>
  <LinksUpToDate>false</LinksUpToDate>
  <CharactersWithSpaces>3522</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2021-06-24T07:29:00Z</dcterms:created>
  <dc:creator>CRISTIAN-NICOLAE MARIN</dc:creator>
  <cp:lastModifiedBy>80063398</cp:lastModifiedBy>
  <cp:lastPrinted>2026-05-13T08:35:00Z</cp:lastPrinted>
  <dcterms:modified xsi:type="dcterms:W3CDTF">2026-05-28T11:24:29Z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1033-11.2.0.10463</vt:lpwstr>
  </property>
  <property fmtid="{D5CDD505-2E9C-101B-9397-08002B2CF9AE}" pid="10" name="ICV">
    <vt:lpwstr>82F534312BDC4B4DB3CECAB090288451</vt:lpwstr>
  </property>
</Properties>
</file>