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8F05" w14:textId="613FB76B" w:rsidR="00CF6AED" w:rsidRPr="00E40663" w:rsidRDefault="00CF6AED" w:rsidP="006F4A54">
      <w:pPr>
        <w:spacing w:before="120" w:after="120" w:line="240" w:lineRule="auto"/>
        <w:jc w:val="center"/>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b/>
          <w:sz w:val="24"/>
          <w:szCs w:val="24"/>
          <w:lang w:val="ro-RO" w:eastAsia="en-US"/>
        </w:rPr>
        <w:t>NOTĂ DE FUNDAMENTARE</w:t>
      </w:r>
    </w:p>
    <w:p w14:paraId="2D24749B" w14:textId="77777777" w:rsidR="00F105DE" w:rsidRPr="00E40663" w:rsidRDefault="00F105DE" w:rsidP="006F4A54">
      <w:pPr>
        <w:spacing w:before="120" w:after="120" w:line="240" w:lineRule="auto"/>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 xml:space="preserve"> </w:t>
      </w:r>
    </w:p>
    <w:tbl>
      <w:tblPr>
        <w:tblStyle w:val="TableGrid"/>
        <w:tblW w:w="10350" w:type="dxa"/>
        <w:tblInd w:w="-635" w:type="dxa"/>
        <w:tblLook w:val="04A0" w:firstRow="1" w:lastRow="0" w:firstColumn="1" w:lastColumn="0" w:noHBand="0" w:noVBand="1"/>
      </w:tblPr>
      <w:tblGrid>
        <w:gridCol w:w="10350"/>
      </w:tblGrid>
      <w:tr w:rsidR="007834D5" w:rsidRPr="00903C3A" w14:paraId="4F3C8ECD" w14:textId="77777777" w:rsidTr="006F4A54">
        <w:trPr>
          <w:trHeight w:val="1601"/>
        </w:trPr>
        <w:tc>
          <w:tcPr>
            <w:tcW w:w="10350" w:type="dxa"/>
          </w:tcPr>
          <w:p w14:paraId="366C3DE1" w14:textId="2B031ACE" w:rsidR="0008230D" w:rsidRPr="00E40663" w:rsidRDefault="0008230D"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Secțiunea 1:</w:t>
            </w:r>
          </w:p>
          <w:p w14:paraId="718EA9CA" w14:textId="77777777" w:rsidR="00F105DE" w:rsidRPr="00E40663" w:rsidRDefault="0008230D"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Titlul proiectului de act normativ</w:t>
            </w:r>
          </w:p>
          <w:p w14:paraId="7973A7B7" w14:textId="77777777" w:rsidR="00CF6AED" w:rsidRPr="00E40663" w:rsidRDefault="00CF6AED"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HOTĂRÂRE</w:t>
            </w:r>
          </w:p>
          <w:p w14:paraId="64F612CF" w14:textId="38BA16B1" w:rsidR="00A43BAE" w:rsidRPr="00E40663" w:rsidRDefault="002B37E3"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t>privind modificarea unor acte normative în domeniul închiderii unor mine și cariere</w:t>
            </w:r>
          </w:p>
        </w:tc>
      </w:tr>
      <w:tr w:rsidR="0008230D" w:rsidRPr="00903C3A" w14:paraId="591DB811" w14:textId="77777777" w:rsidTr="006F4A54">
        <w:tc>
          <w:tcPr>
            <w:tcW w:w="10350" w:type="dxa"/>
          </w:tcPr>
          <w:p w14:paraId="50E5E09E" w14:textId="6870B4C4" w:rsidR="0008230D" w:rsidRPr="00E40663" w:rsidRDefault="0008230D" w:rsidP="006F4A54">
            <w:pPr>
              <w:spacing w:before="120" w:after="120"/>
              <w:jc w:val="center"/>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b/>
                <w:sz w:val="24"/>
                <w:szCs w:val="24"/>
                <w:lang w:val="ro-RO" w:eastAsia="en-US"/>
              </w:rPr>
              <w:t>Secțiunea a 2-a:</w:t>
            </w:r>
          </w:p>
          <w:p w14:paraId="0D8C441D" w14:textId="56054A48" w:rsidR="00A43BAE" w:rsidRPr="00E40663" w:rsidRDefault="0008230D"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sz w:val="24"/>
                <w:szCs w:val="24"/>
                <w:lang w:val="ro-RO" w:eastAsia="en-US"/>
              </w:rPr>
              <w:t>Motivul emiterii actului normativ</w:t>
            </w:r>
          </w:p>
        </w:tc>
      </w:tr>
      <w:tr w:rsidR="0008230D" w:rsidRPr="00903C3A" w14:paraId="5AA41E2A" w14:textId="77777777" w:rsidTr="006F4A54">
        <w:tc>
          <w:tcPr>
            <w:tcW w:w="10350" w:type="dxa"/>
          </w:tcPr>
          <w:p w14:paraId="642B5278"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2.1 Sursa proiectului de act normativ </w:t>
            </w:r>
          </w:p>
          <w:p w14:paraId="6D07ADD1" w14:textId="23FF9F06" w:rsidR="00E40663" w:rsidRPr="00E40663" w:rsidRDefault="00CF6AE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t xml:space="preserve">Inițiativa </w:t>
            </w:r>
            <w:r w:rsidR="00944D01" w:rsidRPr="00E40663">
              <w:rPr>
                <w:rFonts w:ascii="Times New Roman" w:eastAsiaTheme="majorEastAsia" w:hAnsi="Times New Roman" w:cs="Times New Roman"/>
                <w:sz w:val="24"/>
                <w:szCs w:val="24"/>
                <w:lang w:val="ro-RO" w:eastAsia="en-US"/>
              </w:rPr>
              <w:t>Ministerului Economiei, Digitalizării, Antreprenoriatului și Turismului</w:t>
            </w:r>
            <w:r w:rsidR="00E40663" w:rsidRPr="00E40663">
              <w:rPr>
                <w:rFonts w:ascii="Times New Roman" w:eastAsiaTheme="majorEastAsia" w:hAnsi="Times New Roman" w:cs="Times New Roman"/>
                <w:sz w:val="24"/>
                <w:szCs w:val="24"/>
                <w:lang w:val="ro-RO" w:eastAsia="en-US"/>
              </w:rPr>
              <w:t xml:space="preserve"> în urma Apelului de proiecte lansat de către Comisia Europeana (CE) în contextul </w:t>
            </w:r>
            <w:r w:rsidR="00E40663" w:rsidRPr="00E40663">
              <w:rPr>
                <w:rFonts w:ascii="Times New Roman" w:eastAsiaTheme="majorEastAsia" w:hAnsi="Times New Roman" w:cs="Times New Roman"/>
                <w:bCs/>
                <w:i/>
                <w:iCs/>
                <w:sz w:val="24"/>
                <w:szCs w:val="24"/>
                <w:lang w:val="ro-RO" w:eastAsia="en-US"/>
              </w:rPr>
              <w:t>Regulamentului UE al Parlamentului European și al Consiliului de instituire a unui cadru pentru asigurarea aprovizionării sigure și durabile cu materii prime critice și de modificare a Regulamentelor (UE) nr. 168/2013, (UE) 2018/858, (UE) 2018/1724 și (UE) 2019/1020</w:t>
            </w:r>
            <w:r w:rsidR="00E40663" w:rsidRPr="00E40663">
              <w:rPr>
                <w:rFonts w:ascii="Times New Roman" w:eastAsiaTheme="majorEastAsia" w:hAnsi="Times New Roman" w:cs="Times New Roman"/>
                <w:bCs/>
                <w:sz w:val="24"/>
                <w:szCs w:val="24"/>
                <w:lang w:val="ro-RO" w:eastAsia="en-US"/>
              </w:rPr>
              <w:t xml:space="preserve"> (</w:t>
            </w:r>
            <w:proofErr w:type="spellStart"/>
            <w:r w:rsidR="00E40663" w:rsidRPr="00E40663">
              <w:rPr>
                <w:rFonts w:ascii="Times New Roman" w:eastAsiaTheme="majorEastAsia" w:hAnsi="Times New Roman" w:cs="Times New Roman"/>
                <w:bCs/>
                <w:sz w:val="24"/>
                <w:szCs w:val="24"/>
                <w:lang w:val="ro-RO" w:eastAsia="en-US"/>
              </w:rPr>
              <w:t>Critical</w:t>
            </w:r>
            <w:proofErr w:type="spellEnd"/>
            <w:r w:rsidR="00E40663" w:rsidRPr="00E40663">
              <w:rPr>
                <w:rFonts w:ascii="Times New Roman" w:eastAsiaTheme="majorEastAsia" w:hAnsi="Times New Roman" w:cs="Times New Roman"/>
                <w:bCs/>
                <w:sz w:val="24"/>
                <w:szCs w:val="24"/>
                <w:lang w:val="ro-RO" w:eastAsia="en-US"/>
              </w:rPr>
              <w:t xml:space="preserve"> </w:t>
            </w:r>
            <w:proofErr w:type="spellStart"/>
            <w:r w:rsidR="00E40663" w:rsidRPr="00E40663">
              <w:rPr>
                <w:rFonts w:ascii="Times New Roman" w:eastAsiaTheme="majorEastAsia" w:hAnsi="Times New Roman" w:cs="Times New Roman"/>
                <w:bCs/>
                <w:sz w:val="24"/>
                <w:szCs w:val="24"/>
                <w:lang w:val="ro-RO" w:eastAsia="en-US"/>
              </w:rPr>
              <w:t>Raw</w:t>
            </w:r>
            <w:proofErr w:type="spellEnd"/>
            <w:r w:rsidR="00E40663" w:rsidRPr="00E40663">
              <w:rPr>
                <w:rFonts w:ascii="Times New Roman" w:eastAsiaTheme="majorEastAsia" w:hAnsi="Times New Roman" w:cs="Times New Roman"/>
                <w:bCs/>
                <w:sz w:val="24"/>
                <w:szCs w:val="24"/>
                <w:lang w:val="ro-RO" w:eastAsia="en-US"/>
              </w:rPr>
              <w:t xml:space="preserve"> </w:t>
            </w:r>
            <w:proofErr w:type="spellStart"/>
            <w:r w:rsidR="00E40663" w:rsidRPr="00E40663">
              <w:rPr>
                <w:rFonts w:ascii="Times New Roman" w:eastAsiaTheme="majorEastAsia" w:hAnsi="Times New Roman" w:cs="Times New Roman"/>
                <w:bCs/>
                <w:sz w:val="24"/>
                <w:szCs w:val="24"/>
                <w:lang w:val="ro-RO" w:eastAsia="en-US"/>
              </w:rPr>
              <w:t>Materials</w:t>
            </w:r>
            <w:proofErr w:type="spellEnd"/>
            <w:r w:rsidR="00E40663" w:rsidRPr="00E40663">
              <w:rPr>
                <w:rFonts w:ascii="Times New Roman" w:eastAsiaTheme="majorEastAsia" w:hAnsi="Times New Roman" w:cs="Times New Roman"/>
                <w:bCs/>
                <w:sz w:val="24"/>
                <w:szCs w:val="24"/>
                <w:lang w:val="ro-RO" w:eastAsia="en-US"/>
              </w:rPr>
              <w:t xml:space="preserve"> Act – CRMA).</w:t>
            </w:r>
          </w:p>
        </w:tc>
      </w:tr>
      <w:tr w:rsidR="0008230D" w:rsidRPr="00903C3A" w14:paraId="463CE136" w14:textId="77777777" w:rsidTr="006F4A54">
        <w:tc>
          <w:tcPr>
            <w:tcW w:w="10350" w:type="dxa"/>
          </w:tcPr>
          <w:p w14:paraId="6526192E"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2.2 Descrierea situației actuale</w:t>
            </w:r>
          </w:p>
          <w:p w14:paraId="424FB72B" w14:textId="4D33EF30" w:rsidR="00AB5581" w:rsidRPr="00E40663" w:rsidRDefault="0087179F"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sz w:val="24"/>
                <w:szCs w:val="24"/>
                <w:lang w:val="ro-RO" w:eastAsia="en-US"/>
              </w:rPr>
              <w:t xml:space="preserve">Romania, prin </w:t>
            </w:r>
            <w:r w:rsidR="00AB5581" w:rsidRPr="00E40663">
              <w:rPr>
                <w:rFonts w:ascii="Times New Roman" w:eastAsiaTheme="majorEastAsia" w:hAnsi="Times New Roman" w:cs="Times New Roman"/>
                <w:sz w:val="24"/>
                <w:szCs w:val="24"/>
                <w:lang w:val="ro-RO" w:eastAsia="en-US"/>
              </w:rPr>
              <w:t>Ministerului Economiei, Digitalizării, Antreprenoriatului și Turismului (MEDAT)</w:t>
            </w:r>
            <w:r w:rsidRPr="00E40663">
              <w:rPr>
                <w:rFonts w:ascii="Times New Roman" w:eastAsiaTheme="majorEastAsia" w:hAnsi="Times New Roman" w:cs="Times New Roman"/>
                <w:sz w:val="24"/>
                <w:szCs w:val="24"/>
                <w:lang w:val="ro-RO" w:eastAsia="en-US"/>
              </w:rPr>
              <w:t>,</w:t>
            </w:r>
            <w:r w:rsidR="00AB5581" w:rsidRPr="00E40663">
              <w:rPr>
                <w:rFonts w:ascii="Times New Roman" w:eastAsiaTheme="majorEastAsia" w:hAnsi="Times New Roman" w:cs="Times New Roman"/>
                <w:sz w:val="24"/>
                <w:szCs w:val="24"/>
                <w:lang w:val="ro-RO" w:eastAsia="en-US"/>
              </w:rPr>
              <w:t xml:space="preserve"> a realizat pași importanți în strategia sa de relansare a domeniului resurselor minerale neenergetice prin concretizarea eforturilor de recunoaștere a unor proiecte naționale de extracție și procesare a minereurilor cu conținut de materii prime critice ca fiind de importanță strategică la nivel european, în urma Apelului de proiecte lansat de către Comisia Europeana (CE) în contextul </w:t>
            </w:r>
            <w:r w:rsidR="00AB5581" w:rsidRPr="00E40663">
              <w:rPr>
                <w:rFonts w:ascii="Times New Roman" w:eastAsiaTheme="majorEastAsia" w:hAnsi="Times New Roman" w:cs="Times New Roman"/>
                <w:bCs/>
                <w:i/>
                <w:iCs/>
                <w:sz w:val="24"/>
                <w:szCs w:val="24"/>
                <w:lang w:val="ro-RO" w:eastAsia="en-US"/>
              </w:rPr>
              <w:t>Regulamentului UE al Parlamentului European și al Consiliului de instituire a unui cadru pentru asigurarea aprovizionării sigure și durabile cu materii prime critice și de modificare a Regulamentelor (UE) nr. 168/2013, (UE) 2018/858, (UE) 2018/1724 și (UE) 2019/1020</w:t>
            </w:r>
            <w:r w:rsidR="00AB5581" w:rsidRPr="00E40663">
              <w:rPr>
                <w:rFonts w:ascii="Times New Roman" w:eastAsiaTheme="majorEastAsia" w:hAnsi="Times New Roman" w:cs="Times New Roman"/>
                <w:bCs/>
                <w:sz w:val="24"/>
                <w:szCs w:val="24"/>
                <w:lang w:val="ro-RO" w:eastAsia="en-US"/>
              </w:rPr>
              <w:t xml:space="preserve"> (</w:t>
            </w:r>
            <w:proofErr w:type="spellStart"/>
            <w:r w:rsidR="00AB5581" w:rsidRPr="00E40663">
              <w:rPr>
                <w:rFonts w:ascii="Times New Roman" w:eastAsiaTheme="majorEastAsia" w:hAnsi="Times New Roman" w:cs="Times New Roman"/>
                <w:bCs/>
                <w:sz w:val="24"/>
                <w:szCs w:val="24"/>
                <w:lang w:val="ro-RO" w:eastAsia="en-US"/>
              </w:rPr>
              <w:t>Critical</w:t>
            </w:r>
            <w:proofErr w:type="spellEnd"/>
            <w:r w:rsidR="00AB5581" w:rsidRPr="00E40663">
              <w:rPr>
                <w:rFonts w:ascii="Times New Roman" w:eastAsiaTheme="majorEastAsia" w:hAnsi="Times New Roman" w:cs="Times New Roman"/>
                <w:bCs/>
                <w:sz w:val="24"/>
                <w:szCs w:val="24"/>
                <w:lang w:val="ro-RO" w:eastAsia="en-US"/>
              </w:rPr>
              <w:t xml:space="preserve"> </w:t>
            </w:r>
            <w:proofErr w:type="spellStart"/>
            <w:r w:rsidR="00AB5581" w:rsidRPr="00E40663">
              <w:rPr>
                <w:rFonts w:ascii="Times New Roman" w:eastAsiaTheme="majorEastAsia" w:hAnsi="Times New Roman" w:cs="Times New Roman"/>
                <w:bCs/>
                <w:sz w:val="24"/>
                <w:szCs w:val="24"/>
                <w:lang w:val="ro-RO" w:eastAsia="en-US"/>
              </w:rPr>
              <w:t>Raw</w:t>
            </w:r>
            <w:proofErr w:type="spellEnd"/>
            <w:r w:rsidR="00AB5581" w:rsidRPr="00E40663">
              <w:rPr>
                <w:rFonts w:ascii="Times New Roman" w:eastAsiaTheme="majorEastAsia" w:hAnsi="Times New Roman" w:cs="Times New Roman"/>
                <w:bCs/>
                <w:sz w:val="24"/>
                <w:szCs w:val="24"/>
                <w:lang w:val="ro-RO" w:eastAsia="en-US"/>
              </w:rPr>
              <w:t xml:space="preserve"> </w:t>
            </w:r>
            <w:proofErr w:type="spellStart"/>
            <w:r w:rsidR="00AB5581" w:rsidRPr="00E40663">
              <w:rPr>
                <w:rFonts w:ascii="Times New Roman" w:eastAsiaTheme="majorEastAsia" w:hAnsi="Times New Roman" w:cs="Times New Roman"/>
                <w:bCs/>
                <w:sz w:val="24"/>
                <w:szCs w:val="24"/>
                <w:lang w:val="ro-RO" w:eastAsia="en-US"/>
              </w:rPr>
              <w:t>Materials</w:t>
            </w:r>
            <w:proofErr w:type="spellEnd"/>
            <w:r w:rsidR="00AB5581" w:rsidRPr="00E40663">
              <w:rPr>
                <w:rFonts w:ascii="Times New Roman" w:eastAsiaTheme="majorEastAsia" w:hAnsi="Times New Roman" w:cs="Times New Roman"/>
                <w:bCs/>
                <w:sz w:val="24"/>
                <w:szCs w:val="24"/>
                <w:lang w:val="ro-RO" w:eastAsia="en-US"/>
              </w:rPr>
              <w:t xml:space="preserve"> Act – CRMA).</w:t>
            </w:r>
          </w:p>
          <w:p w14:paraId="0732BF7F" w14:textId="3E34CCD1" w:rsidR="00AB5581" w:rsidRPr="00E40663" w:rsidRDefault="00AB5581"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Actul european privind materiile prime critice urmărește să asigure o aprovizionare diversificată, sigură și durabilă cu materii prime critice pentru industria UE, materii prime esențiale pentru sectoarele strategice, inclusiv tehnologiile curate, industria digitală, de apărare și industria aerospațială.</w:t>
            </w:r>
          </w:p>
          <w:p w14:paraId="49AD05B1" w14:textId="11E34342" w:rsidR="00AB5581" w:rsidRPr="00E40663" w:rsidRDefault="00AB5581"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Ministerul a informat mediul economic de profil cu privire la adoptarea Regulamentului CRMA și, în mod special, cu privire la Apelul pentru proiecte strategice</w:t>
            </w:r>
            <w:r w:rsidR="00CF7A0C">
              <w:rPr>
                <w:rFonts w:ascii="Times New Roman" w:eastAsiaTheme="majorEastAsia" w:hAnsi="Times New Roman" w:cs="Times New Roman"/>
                <w:bCs/>
                <w:sz w:val="24"/>
                <w:szCs w:val="24"/>
                <w:lang w:val="ro-RO" w:eastAsia="en-US"/>
              </w:rPr>
              <w:t xml:space="preserve">, astfel </w:t>
            </w:r>
            <w:r w:rsidRPr="00E40663">
              <w:rPr>
                <w:rFonts w:ascii="Times New Roman" w:eastAsiaTheme="majorEastAsia" w:hAnsi="Times New Roman" w:cs="Times New Roman"/>
                <w:bCs/>
                <w:sz w:val="24"/>
                <w:szCs w:val="24"/>
                <w:lang w:val="ro-RO" w:eastAsia="en-US"/>
              </w:rPr>
              <w:t>MEDAT sprijin</w:t>
            </w:r>
            <w:r w:rsidR="00CF7A0C">
              <w:rPr>
                <w:rFonts w:ascii="Times New Roman" w:eastAsiaTheme="majorEastAsia" w:hAnsi="Times New Roman" w:cs="Times New Roman"/>
                <w:bCs/>
                <w:sz w:val="24"/>
                <w:szCs w:val="24"/>
                <w:lang w:val="ro-RO" w:eastAsia="en-US"/>
              </w:rPr>
              <w:t>ă</w:t>
            </w:r>
            <w:r w:rsidRPr="00E40663">
              <w:rPr>
                <w:rFonts w:ascii="Times New Roman" w:eastAsiaTheme="majorEastAsia" w:hAnsi="Times New Roman" w:cs="Times New Roman"/>
                <w:bCs/>
                <w:sz w:val="24"/>
                <w:szCs w:val="24"/>
                <w:lang w:val="ro-RO" w:eastAsia="en-US"/>
              </w:rPr>
              <w:t xml:space="preserve"> companiile miniere naționale în procesul de elaborare și depunere a propunerilor de proiecte.</w:t>
            </w:r>
          </w:p>
          <w:p w14:paraId="0DC0290D" w14:textId="0D4C2B87" w:rsidR="00AB5581" w:rsidRPr="00E40663" w:rsidRDefault="00AB5581"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În data de 25.03.2025, CE a adoptat Lista proiectelor strategice, în care se regăsesc trei proiecte românești.</w:t>
            </w:r>
          </w:p>
          <w:p w14:paraId="1FF391B8" w14:textId="18034912" w:rsidR="00AB5581" w:rsidRPr="00E40663" w:rsidRDefault="00AB5581"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Unul dintre acestea, implementat de către</w:t>
            </w:r>
            <w:r w:rsidRPr="00E40663">
              <w:rPr>
                <w:rFonts w:ascii="Times New Roman" w:eastAsiaTheme="majorEastAsia" w:hAnsi="Times New Roman" w:cs="Times New Roman"/>
                <w:sz w:val="24"/>
                <w:szCs w:val="24"/>
                <w:lang w:val="ro-RO" w:eastAsia="en-US"/>
              </w:rPr>
              <w:t xml:space="preserve"> </w:t>
            </w:r>
            <w:r w:rsidRPr="00E40663">
              <w:rPr>
                <w:rFonts w:ascii="Times New Roman" w:eastAsiaTheme="majorEastAsia" w:hAnsi="Times New Roman" w:cs="Times New Roman"/>
                <w:bCs/>
                <w:sz w:val="24"/>
                <w:szCs w:val="24"/>
                <w:lang w:val="ro-RO" w:eastAsia="en-US"/>
              </w:rPr>
              <w:t>Societatea Națională a Sării S.A. (SNS SALROM), companie de stat din portofoliul MEDAT, se referă la extracția grafitului de calitate pentru baterii din arealul „Baia de Fier” și implică extracția și procesarea primară a șisturilor grafitoase pentru a produce grafit de calitate pentru baterii.</w:t>
            </w:r>
          </w:p>
          <w:p w14:paraId="5E2A09F2" w14:textId="1AE3D9E5" w:rsidR="00AB5581" w:rsidRPr="00E40663" w:rsidRDefault="00AB5581" w:rsidP="006F4A54">
            <w:pPr>
              <w:spacing w:before="120" w:after="120"/>
              <w:jc w:val="both"/>
              <w:rPr>
                <w:rFonts w:ascii="Times New Roman" w:eastAsiaTheme="majorEastAsia" w:hAnsi="Times New Roman" w:cs="Times New Roman"/>
                <w:bCs/>
                <w:sz w:val="24"/>
                <w:szCs w:val="24"/>
                <w:lang w:val="ro-RO" w:eastAsia="en-US"/>
              </w:rPr>
            </w:pPr>
            <w:r w:rsidRPr="00E40663">
              <w:rPr>
                <w:rFonts w:ascii="Times New Roman" w:eastAsiaTheme="majorEastAsia" w:hAnsi="Times New Roman" w:cs="Times New Roman"/>
                <w:bCs/>
                <w:sz w:val="24"/>
                <w:szCs w:val="24"/>
                <w:lang w:val="ro-RO" w:eastAsia="en-US"/>
              </w:rPr>
              <w:t>Acesta include dezvoltarea infrastructurii necesare pentru extracție, precum și instalarea de echipamente de procesare care să transforme materia primă brută în grafit de înaltă puritate, esențial pentru producția de baterii, în special pentru vehicule electrice și sisteme de stocare a energiei.</w:t>
            </w:r>
          </w:p>
          <w:p w14:paraId="1F6DE50E" w14:textId="5E1668BE" w:rsidR="00E0617A" w:rsidRPr="00E40663" w:rsidRDefault="00AB5581"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bCs/>
                <w:sz w:val="24"/>
                <w:szCs w:val="24"/>
                <w:lang w:val="ro-RO" w:eastAsia="en-US"/>
              </w:rPr>
              <w:t>Se pune accent pe ranforsarea lanțurilor de aprovizionare ale UE</w:t>
            </w:r>
            <w:r w:rsidR="00B3041D">
              <w:rPr>
                <w:rFonts w:ascii="Times New Roman" w:eastAsiaTheme="majorEastAsia" w:hAnsi="Times New Roman" w:cs="Times New Roman"/>
                <w:bCs/>
                <w:sz w:val="24"/>
                <w:szCs w:val="24"/>
                <w:lang w:val="ro-RO" w:eastAsia="en-US"/>
              </w:rPr>
              <w:t>, cu o localizare accentuată acestora la nivel național</w:t>
            </w:r>
            <w:r w:rsidRPr="00E40663">
              <w:rPr>
                <w:rFonts w:ascii="Times New Roman" w:eastAsiaTheme="majorEastAsia" w:hAnsi="Times New Roman" w:cs="Times New Roman"/>
                <w:bCs/>
                <w:sz w:val="24"/>
                <w:szCs w:val="24"/>
                <w:lang w:val="ro-RO" w:eastAsia="en-US"/>
              </w:rPr>
              <w:t xml:space="preserve"> pentru tehnologiile energetice curate, asigurându-se </w:t>
            </w:r>
            <w:r w:rsidR="00E0617A">
              <w:rPr>
                <w:rFonts w:ascii="Times New Roman" w:eastAsiaTheme="majorEastAsia" w:hAnsi="Times New Roman" w:cs="Times New Roman"/>
                <w:bCs/>
                <w:sz w:val="24"/>
                <w:szCs w:val="24"/>
                <w:lang w:val="ro-RO" w:eastAsia="en-US"/>
              </w:rPr>
              <w:t>resursele</w:t>
            </w:r>
            <w:r w:rsidRPr="00E40663">
              <w:rPr>
                <w:rFonts w:ascii="Times New Roman" w:eastAsiaTheme="majorEastAsia" w:hAnsi="Times New Roman" w:cs="Times New Roman"/>
                <w:bCs/>
                <w:sz w:val="24"/>
                <w:szCs w:val="24"/>
                <w:lang w:val="ro-RO" w:eastAsia="en-US"/>
              </w:rPr>
              <w:t xml:space="preserve"> necesare pentru utilizarea în bateriile pentru vehicule electrice și alte soluții de stocare a energiei</w:t>
            </w:r>
            <w:r w:rsidR="00E0617A">
              <w:rPr>
                <w:rFonts w:ascii="Times New Roman" w:eastAsiaTheme="majorEastAsia" w:hAnsi="Times New Roman" w:cs="Times New Roman"/>
                <w:bCs/>
                <w:sz w:val="24"/>
                <w:szCs w:val="24"/>
                <w:lang w:val="ro-RO" w:eastAsia="en-US"/>
              </w:rPr>
              <w:t xml:space="preserve"> ce </w:t>
            </w:r>
            <w:r w:rsidR="00E0617A" w:rsidRPr="00E40663">
              <w:rPr>
                <w:rFonts w:ascii="Times New Roman" w:eastAsiaTheme="majorEastAsia" w:hAnsi="Times New Roman" w:cs="Times New Roman"/>
                <w:sz w:val="24"/>
                <w:szCs w:val="24"/>
                <w:lang w:val="ro-RO" w:eastAsia="en-US"/>
              </w:rPr>
              <w:t xml:space="preserve">poate asigura statutului roman o cotă de piață foarte importantă ulterior </w:t>
            </w:r>
            <w:r w:rsidR="00B3041D">
              <w:rPr>
                <w:rFonts w:ascii="Times New Roman" w:eastAsiaTheme="majorEastAsia" w:hAnsi="Times New Roman" w:cs="Times New Roman"/>
                <w:sz w:val="24"/>
                <w:szCs w:val="24"/>
                <w:lang w:val="ro-RO" w:eastAsia="en-US"/>
              </w:rPr>
              <w:t xml:space="preserve">reluării </w:t>
            </w:r>
            <w:r w:rsidR="00E0617A" w:rsidRPr="00E40663">
              <w:rPr>
                <w:rFonts w:ascii="Times New Roman" w:eastAsiaTheme="majorEastAsia" w:hAnsi="Times New Roman" w:cs="Times New Roman"/>
                <w:sz w:val="24"/>
                <w:szCs w:val="24"/>
                <w:lang w:val="ro-RO" w:eastAsia="en-US"/>
              </w:rPr>
              <w:t xml:space="preserve"> exploatării grafitului din zăcământul de la Baia de Fier</w:t>
            </w:r>
            <w:r w:rsidR="00E0617A">
              <w:rPr>
                <w:rFonts w:ascii="Times New Roman" w:eastAsiaTheme="majorEastAsia" w:hAnsi="Times New Roman" w:cs="Times New Roman"/>
                <w:sz w:val="24"/>
                <w:szCs w:val="24"/>
                <w:lang w:val="ro-RO" w:eastAsia="en-US"/>
              </w:rPr>
              <w:t>.</w:t>
            </w:r>
            <w:r w:rsidR="00B3041D">
              <w:rPr>
                <w:rFonts w:ascii="Times New Roman" w:eastAsiaTheme="majorEastAsia" w:hAnsi="Times New Roman" w:cs="Times New Roman"/>
                <w:sz w:val="24"/>
                <w:szCs w:val="24"/>
                <w:lang w:val="ro-RO" w:eastAsia="en-US"/>
              </w:rPr>
              <w:t xml:space="preserve"> </w:t>
            </w:r>
            <w:r w:rsidR="00E0617A">
              <w:rPr>
                <w:rFonts w:ascii="Times New Roman" w:eastAsiaTheme="majorEastAsia" w:hAnsi="Times New Roman" w:cs="Times New Roman"/>
                <w:sz w:val="24"/>
                <w:szCs w:val="24"/>
                <w:lang w:val="ro-RO" w:eastAsia="en-US"/>
              </w:rPr>
              <w:t>Reluarea activității miniere în arealul Baia de Fier</w:t>
            </w:r>
            <w:r w:rsidR="00E0617A" w:rsidRPr="00E40663">
              <w:rPr>
                <w:rFonts w:ascii="Times New Roman" w:eastAsiaTheme="majorEastAsia" w:hAnsi="Times New Roman" w:cs="Times New Roman"/>
                <w:sz w:val="24"/>
                <w:szCs w:val="24"/>
                <w:lang w:val="ro-RO" w:eastAsia="en-US"/>
              </w:rPr>
              <w:t xml:space="preserve"> </w:t>
            </w:r>
            <w:r w:rsidR="00E0617A">
              <w:rPr>
                <w:rFonts w:ascii="Times New Roman" w:eastAsiaTheme="majorEastAsia" w:hAnsi="Times New Roman" w:cs="Times New Roman"/>
                <w:sz w:val="24"/>
                <w:szCs w:val="24"/>
                <w:lang w:val="ro-RO" w:eastAsia="en-US"/>
              </w:rPr>
              <w:t xml:space="preserve">va asigura </w:t>
            </w:r>
            <w:r w:rsidR="00E0617A" w:rsidRPr="00E40663">
              <w:rPr>
                <w:rFonts w:ascii="Times New Roman" w:eastAsiaTheme="majorEastAsia" w:hAnsi="Times New Roman" w:cs="Times New Roman"/>
                <w:sz w:val="24"/>
                <w:szCs w:val="24"/>
                <w:lang w:val="ro-RO" w:eastAsia="en-US"/>
              </w:rPr>
              <w:t xml:space="preserve">materie primă pentru o gamă foarte variată de produse specifice tehnologiilor avansate din industriile auto (baterii pentru vehicule electrice), electronică (producerea </w:t>
            </w:r>
            <w:proofErr w:type="spellStart"/>
            <w:r w:rsidR="00E0617A" w:rsidRPr="00E40663">
              <w:rPr>
                <w:rFonts w:ascii="Times New Roman" w:eastAsiaTheme="majorEastAsia" w:hAnsi="Times New Roman" w:cs="Times New Roman"/>
                <w:sz w:val="24"/>
                <w:szCs w:val="24"/>
                <w:lang w:val="ro-RO" w:eastAsia="en-US"/>
              </w:rPr>
              <w:t>grafenei</w:t>
            </w:r>
            <w:proofErr w:type="spellEnd"/>
            <w:r w:rsidR="00E0617A" w:rsidRPr="00E40663">
              <w:rPr>
                <w:rFonts w:ascii="Times New Roman" w:eastAsiaTheme="majorEastAsia" w:hAnsi="Times New Roman" w:cs="Times New Roman"/>
                <w:sz w:val="24"/>
                <w:szCs w:val="24"/>
                <w:lang w:val="ro-RO" w:eastAsia="en-US"/>
              </w:rPr>
              <w:t>) și constructoare de mașini.</w:t>
            </w:r>
          </w:p>
          <w:p w14:paraId="28332624" w14:textId="537E4051" w:rsidR="00AB5581" w:rsidRPr="00E40663" w:rsidRDefault="00CF7A0C" w:rsidP="006F4A54">
            <w:pPr>
              <w:spacing w:before="120" w:after="120"/>
              <w:jc w:val="both"/>
              <w:rPr>
                <w:rFonts w:ascii="Times New Roman" w:eastAsiaTheme="majorEastAsia" w:hAnsi="Times New Roman" w:cs="Times New Roman"/>
                <w:sz w:val="24"/>
                <w:szCs w:val="24"/>
                <w:lang w:val="ro-RO" w:eastAsia="en-US"/>
              </w:rPr>
            </w:pPr>
            <w:r>
              <w:rPr>
                <w:rFonts w:ascii="Times New Roman" w:eastAsiaTheme="majorEastAsia" w:hAnsi="Times New Roman" w:cs="Times New Roman"/>
                <w:sz w:val="24"/>
                <w:szCs w:val="24"/>
                <w:lang w:val="ro-RO" w:eastAsia="en-US"/>
              </w:rPr>
              <w:lastRenderedPageBreak/>
              <w:t>Î</w:t>
            </w:r>
            <w:r w:rsidR="00AB5581" w:rsidRPr="00E40663">
              <w:rPr>
                <w:rFonts w:ascii="Times New Roman" w:eastAsiaTheme="majorEastAsia" w:hAnsi="Times New Roman" w:cs="Times New Roman"/>
                <w:sz w:val="24"/>
                <w:szCs w:val="24"/>
                <w:lang w:val="ro-RO" w:eastAsia="en-US"/>
              </w:rPr>
              <w:t xml:space="preserve">n </w:t>
            </w:r>
            <w:r>
              <w:rPr>
                <w:rFonts w:ascii="Times New Roman" w:eastAsiaTheme="majorEastAsia" w:hAnsi="Times New Roman" w:cs="Times New Roman"/>
                <w:sz w:val="24"/>
                <w:szCs w:val="24"/>
                <w:lang w:val="ro-RO" w:eastAsia="en-US"/>
              </w:rPr>
              <w:t xml:space="preserve">prezent în </w:t>
            </w:r>
            <w:r w:rsidR="00AB5581" w:rsidRPr="00E40663">
              <w:rPr>
                <w:rFonts w:ascii="Times New Roman" w:eastAsiaTheme="majorEastAsia" w:hAnsi="Times New Roman" w:cs="Times New Roman"/>
                <w:sz w:val="24"/>
                <w:szCs w:val="24"/>
                <w:lang w:val="ro-RO" w:eastAsia="en-US"/>
              </w:rPr>
              <w:t>arealul „Baia de Fier”, județul Gorj, exista dou</w:t>
            </w:r>
            <w:r>
              <w:rPr>
                <w:rFonts w:ascii="Times New Roman" w:eastAsiaTheme="majorEastAsia" w:hAnsi="Times New Roman" w:cs="Times New Roman"/>
                <w:sz w:val="24"/>
                <w:szCs w:val="24"/>
                <w:lang w:val="ro-RO" w:eastAsia="en-US"/>
              </w:rPr>
              <w:t>ă</w:t>
            </w:r>
            <w:r w:rsidR="00AB5581" w:rsidRPr="00E40663">
              <w:rPr>
                <w:rFonts w:ascii="Times New Roman" w:eastAsiaTheme="majorEastAsia" w:hAnsi="Times New Roman" w:cs="Times New Roman"/>
                <w:sz w:val="24"/>
                <w:szCs w:val="24"/>
                <w:lang w:val="ro-RO" w:eastAsia="en-US"/>
              </w:rPr>
              <w:t xml:space="preserve"> perimetre miniere cu rezerv</w:t>
            </w:r>
            <w:r>
              <w:rPr>
                <w:rFonts w:ascii="Times New Roman" w:eastAsiaTheme="majorEastAsia" w:hAnsi="Times New Roman" w:cs="Times New Roman"/>
                <w:sz w:val="24"/>
                <w:szCs w:val="24"/>
                <w:lang w:val="ro-RO" w:eastAsia="en-US"/>
              </w:rPr>
              <w:t>ă</w:t>
            </w:r>
            <w:r w:rsidR="00AB5581" w:rsidRPr="00E40663">
              <w:rPr>
                <w:rFonts w:ascii="Times New Roman" w:eastAsiaTheme="majorEastAsia" w:hAnsi="Times New Roman" w:cs="Times New Roman"/>
                <w:sz w:val="24"/>
                <w:szCs w:val="24"/>
                <w:lang w:val="ro-RO" w:eastAsia="en-US"/>
              </w:rPr>
              <w:t xml:space="preserve"> omologat</w:t>
            </w:r>
            <w:r>
              <w:rPr>
                <w:rFonts w:ascii="Times New Roman" w:eastAsiaTheme="majorEastAsia" w:hAnsi="Times New Roman" w:cs="Times New Roman"/>
                <w:sz w:val="24"/>
                <w:szCs w:val="24"/>
                <w:lang w:val="ro-RO" w:eastAsia="en-US"/>
              </w:rPr>
              <w:t>ă</w:t>
            </w:r>
            <w:r w:rsidR="00AB5581" w:rsidRPr="00E40663">
              <w:rPr>
                <w:rFonts w:ascii="Times New Roman" w:eastAsiaTheme="majorEastAsia" w:hAnsi="Times New Roman" w:cs="Times New Roman"/>
                <w:sz w:val="24"/>
                <w:szCs w:val="24"/>
                <w:lang w:val="ro-RO" w:eastAsia="en-US"/>
              </w:rPr>
              <w:t xml:space="preserve"> pentru grafit la </w:t>
            </w:r>
            <w:proofErr w:type="spellStart"/>
            <w:r w:rsidR="00AB5581" w:rsidRPr="00E40663">
              <w:rPr>
                <w:rFonts w:ascii="Times New Roman" w:eastAsiaTheme="majorEastAsia" w:hAnsi="Times New Roman" w:cs="Times New Roman"/>
                <w:sz w:val="24"/>
                <w:szCs w:val="24"/>
                <w:lang w:val="ro-RO" w:eastAsia="en-US"/>
              </w:rPr>
              <w:t>Catalinu</w:t>
            </w:r>
            <w:proofErr w:type="spellEnd"/>
            <w:r w:rsidR="00AB5581" w:rsidRPr="00E40663">
              <w:rPr>
                <w:rFonts w:ascii="Times New Roman" w:eastAsiaTheme="majorEastAsia" w:hAnsi="Times New Roman" w:cs="Times New Roman"/>
                <w:sz w:val="24"/>
                <w:szCs w:val="24"/>
                <w:lang w:val="ro-RO" w:eastAsia="en-US"/>
              </w:rPr>
              <w:t xml:space="preserve"> si </w:t>
            </w:r>
            <w:proofErr w:type="spellStart"/>
            <w:r w:rsidR="00AB5581" w:rsidRPr="00E40663">
              <w:rPr>
                <w:rFonts w:ascii="Times New Roman" w:eastAsiaTheme="majorEastAsia" w:hAnsi="Times New Roman" w:cs="Times New Roman"/>
                <w:sz w:val="24"/>
                <w:szCs w:val="24"/>
                <w:lang w:val="ro-RO" w:eastAsia="en-US"/>
              </w:rPr>
              <w:t>Ungurelasu</w:t>
            </w:r>
            <w:proofErr w:type="spellEnd"/>
            <w:r w:rsidR="00AB5581" w:rsidRPr="00E40663">
              <w:rPr>
                <w:rFonts w:ascii="Times New Roman" w:eastAsiaTheme="majorEastAsia" w:hAnsi="Times New Roman" w:cs="Times New Roman"/>
                <w:sz w:val="24"/>
                <w:szCs w:val="24"/>
                <w:lang w:val="ro-RO" w:eastAsia="en-US"/>
              </w:rPr>
              <w:t>.</w:t>
            </w:r>
          </w:p>
          <w:p w14:paraId="35672B21" w14:textId="401B725F" w:rsidR="00AB5581" w:rsidRPr="00E40663" w:rsidRDefault="00AB5581"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Aceste perimetre au fost aprobate la închidere definitiva </w:t>
            </w:r>
            <w:r w:rsidR="00CF7A0C">
              <w:rPr>
                <w:rFonts w:ascii="Times New Roman" w:eastAsiaTheme="majorEastAsia" w:hAnsi="Times New Roman" w:cs="Times New Roman"/>
                <w:sz w:val="24"/>
                <w:szCs w:val="24"/>
                <w:lang w:val="ro-RO" w:eastAsia="en-US"/>
              </w:rPr>
              <w:t>ș</w:t>
            </w:r>
            <w:r w:rsidRPr="00E40663">
              <w:rPr>
                <w:rFonts w:ascii="Times New Roman" w:eastAsiaTheme="majorEastAsia" w:hAnsi="Times New Roman" w:cs="Times New Roman"/>
                <w:sz w:val="24"/>
                <w:szCs w:val="24"/>
                <w:lang w:val="ro-RO" w:eastAsia="en-US"/>
              </w:rPr>
              <w:t xml:space="preserve">i monitorizare a factorilor de mediu </w:t>
            </w:r>
            <w:r w:rsidR="00C760EA" w:rsidRPr="00E40663">
              <w:rPr>
                <w:rFonts w:ascii="Times New Roman" w:eastAsiaTheme="majorEastAsia" w:hAnsi="Times New Roman" w:cs="Times New Roman"/>
                <w:sz w:val="24"/>
                <w:szCs w:val="24"/>
                <w:lang w:val="ro-RO" w:eastAsia="en-US"/>
              </w:rPr>
              <w:t>postînchidere</w:t>
            </w:r>
            <w:r w:rsidRPr="00E40663">
              <w:rPr>
                <w:rFonts w:ascii="Times New Roman" w:eastAsiaTheme="majorEastAsia" w:hAnsi="Times New Roman" w:cs="Times New Roman"/>
                <w:sz w:val="24"/>
                <w:szCs w:val="24"/>
                <w:lang w:val="ro-RO" w:eastAsia="en-US"/>
              </w:rPr>
              <w:t xml:space="preserve"> prin Hotărârile de Guvern nr. 1008 din 2 august 2006 pentru perimetrul </w:t>
            </w:r>
            <w:proofErr w:type="spellStart"/>
            <w:r w:rsidRPr="00E40663">
              <w:rPr>
                <w:rFonts w:ascii="Times New Roman" w:eastAsiaTheme="majorEastAsia" w:hAnsi="Times New Roman" w:cs="Times New Roman"/>
                <w:sz w:val="24"/>
                <w:szCs w:val="24"/>
                <w:lang w:val="ro-RO" w:eastAsia="en-US"/>
              </w:rPr>
              <w:t>Catalinu</w:t>
            </w:r>
            <w:proofErr w:type="spellEnd"/>
            <w:r w:rsidRPr="00E40663">
              <w:rPr>
                <w:rFonts w:ascii="Times New Roman" w:eastAsiaTheme="majorEastAsia" w:hAnsi="Times New Roman" w:cs="Times New Roman"/>
                <w:sz w:val="24"/>
                <w:szCs w:val="24"/>
                <w:lang w:val="ro-RO" w:eastAsia="en-US"/>
              </w:rPr>
              <w:t xml:space="preserve">, respectiv 644 din 20 iunie 2007 pentru perimetrul </w:t>
            </w:r>
            <w:proofErr w:type="spellStart"/>
            <w:r w:rsidRPr="00E40663">
              <w:rPr>
                <w:rFonts w:ascii="Times New Roman" w:eastAsiaTheme="majorEastAsia" w:hAnsi="Times New Roman" w:cs="Times New Roman"/>
                <w:sz w:val="24"/>
                <w:szCs w:val="24"/>
                <w:lang w:val="ro-RO" w:eastAsia="en-US"/>
              </w:rPr>
              <w:t>Ungurelasu</w:t>
            </w:r>
            <w:proofErr w:type="spellEnd"/>
            <w:r w:rsidRPr="00E40663">
              <w:rPr>
                <w:rFonts w:ascii="Times New Roman" w:eastAsiaTheme="majorEastAsia" w:hAnsi="Times New Roman" w:cs="Times New Roman"/>
                <w:sz w:val="24"/>
                <w:szCs w:val="24"/>
                <w:lang w:val="ro-RO" w:eastAsia="en-US"/>
              </w:rPr>
              <w:t>.</w:t>
            </w:r>
          </w:p>
          <w:p w14:paraId="266929D5" w14:textId="47562638" w:rsidR="00AB5581" w:rsidRPr="00E40663" w:rsidRDefault="00AB5581"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SNS SALROM deține licența de concesiune a exploatării de șisturi grafitoase nr. 634/1999 în perimetrul Ungurelașu – Polovragi, </w:t>
            </w:r>
            <w:r w:rsidR="00BF5FD7" w:rsidRPr="00E40663">
              <w:rPr>
                <w:rFonts w:ascii="Times New Roman" w:eastAsiaTheme="majorEastAsia" w:hAnsi="Times New Roman" w:cs="Times New Roman"/>
                <w:sz w:val="24"/>
                <w:szCs w:val="24"/>
                <w:lang w:val="ro-RO" w:eastAsia="en-US"/>
              </w:rPr>
              <w:t>licență prelungită prin H.G. nr. 639/2025, publicată în Monitorul Oficial nr. 746 din 8 august 2025</w:t>
            </w:r>
            <w:r w:rsidRPr="00E40663">
              <w:rPr>
                <w:rFonts w:ascii="Times New Roman" w:eastAsiaTheme="majorEastAsia" w:hAnsi="Times New Roman" w:cs="Times New Roman"/>
                <w:sz w:val="24"/>
                <w:szCs w:val="24"/>
                <w:lang w:val="ro-RO" w:eastAsia="en-US"/>
              </w:rPr>
              <w:t>.</w:t>
            </w:r>
          </w:p>
          <w:p w14:paraId="17417BF3" w14:textId="5B623484" w:rsidR="0008230D" w:rsidRPr="00E40663" w:rsidRDefault="00BF5FD7" w:rsidP="006F4A54">
            <w:pPr>
              <w:spacing w:before="120" w:after="120"/>
              <w:jc w:val="both"/>
              <w:rPr>
                <w:rFonts w:ascii="Times New Roman" w:eastAsiaTheme="majorEastAsia" w:hAnsi="Times New Roman" w:cs="Times New Roman"/>
                <w:b/>
                <w:bCs/>
                <w:color w:val="FF0000"/>
                <w:sz w:val="24"/>
                <w:szCs w:val="24"/>
                <w:lang w:val="ro-RO" w:eastAsia="en-US"/>
              </w:rPr>
            </w:pPr>
            <w:r w:rsidRPr="00E40663">
              <w:rPr>
                <w:rFonts w:ascii="Times New Roman" w:eastAsiaTheme="majorEastAsia" w:hAnsi="Times New Roman" w:cs="Times New Roman"/>
                <w:sz w:val="24"/>
                <w:szCs w:val="24"/>
                <w:lang w:val="ro-RO" w:eastAsia="en-US"/>
              </w:rPr>
              <w:t>In cadrul demersului de prelungire a acestei licențe c</w:t>
            </w:r>
            <w:r w:rsidR="00AB5581" w:rsidRPr="00E40663">
              <w:rPr>
                <w:rFonts w:ascii="Times New Roman" w:eastAsiaTheme="majorEastAsia" w:hAnsi="Times New Roman" w:cs="Times New Roman"/>
                <w:sz w:val="24"/>
                <w:szCs w:val="24"/>
                <w:lang w:val="ro-RO" w:eastAsia="en-US"/>
              </w:rPr>
              <w:t xml:space="preserve">ompania </w:t>
            </w:r>
            <w:r w:rsidRPr="00E40663">
              <w:rPr>
                <w:rFonts w:ascii="Times New Roman" w:eastAsiaTheme="majorEastAsia" w:hAnsi="Times New Roman" w:cs="Times New Roman"/>
                <w:sz w:val="24"/>
                <w:szCs w:val="24"/>
                <w:lang w:val="ro-RO" w:eastAsia="en-US"/>
              </w:rPr>
              <w:t xml:space="preserve">SALROM </w:t>
            </w:r>
            <w:r w:rsidR="00AB5581" w:rsidRPr="00E40663">
              <w:rPr>
                <w:rFonts w:ascii="Times New Roman" w:eastAsiaTheme="majorEastAsia" w:hAnsi="Times New Roman" w:cs="Times New Roman"/>
                <w:sz w:val="24"/>
                <w:szCs w:val="24"/>
                <w:lang w:val="ro-RO" w:eastAsia="en-US"/>
              </w:rPr>
              <w:t xml:space="preserve">a </w:t>
            </w:r>
            <w:r w:rsidRPr="00E40663">
              <w:rPr>
                <w:rFonts w:ascii="Times New Roman" w:eastAsiaTheme="majorEastAsia" w:hAnsi="Times New Roman" w:cs="Times New Roman"/>
                <w:sz w:val="24"/>
                <w:szCs w:val="24"/>
                <w:lang w:val="ro-RO" w:eastAsia="en-US"/>
              </w:rPr>
              <w:t>transmis</w:t>
            </w:r>
            <w:r w:rsidR="00CB256B" w:rsidRPr="00E40663">
              <w:rPr>
                <w:rFonts w:ascii="Times New Roman" w:hAnsi="Times New Roman" w:cs="Times New Roman"/>
                <w:sz w:val="24"/>
                <w:szCs w:val="24"/>
                <w:lang w:val="ro-RO"/>
              </w:rPr>
              <w:t xml:space="preserve"> către </w:t>
            </w:r>
            <w:r w:rsidR="00CB256B" w:rsidRPr="00E40663">
              <w:rPr>
                <w:rFonts w:ascii="Times New Roman" w:eastAsiaTheme="majorEastAsia" w:hAnsi="Times New Roman" w:cs="Times New Roman"/>
                <w:sz w:val="24"/>
                <w:szCs w:val="24"/>
                <w:lang w:val="ro-RO" w:eastAsia="en-US"/>
              </w:rPr>
              <w:t>Autoritatea Națională De Reglementare în Domeniul Minier, Petrolier și al Stocării Geologice a Dioxidului de Carbon</w:t>
            </w:r>
            <w:r w:rsidRPr="00E40663">
              <w:rPr>
                <w:rFonts w:ascii="Times New Roman" w:eastAsiaTheme="majorEastAsia" w:hAnsi="Times New Roman" w:cs="Times New Roman"/>
                <w:sz w:val="24"/>
                <w:szCs w:val="24"/>
                <w:lang w:val="ro-RO" w:eastAsia="en-US"/>
              </w:rPr>
              <w:t xml:space="preserve"> documentația care dovedește capacitatea </w:t>
            </w:r>
            <w:proofErr w:type="spellStart"/>
            <w:r w:rsidRPr="00E40663">
              <w:rPr>
                <w:rFonts w:ascii="Times New Roman" w:eastAsiaTheme="majorEastAsia" w:hAnsi="Times New Roman" w:cs="Times New Roman"/>
                <w:sz w:val="24"/>
                <w:szCs w:val="24"/>
                <w:lang w:val="ro-RO" w:eastAsia="en-US"/>
              </w:rPr>
              <w:t>tehnico</w:t>
            </w:r>
            <w:proofErr w:type="spellEnd"/>
            <w:r w:rsidRPr="00E40663">
              <w:rPr>
                <w:rFonts w:ascii="Times New Roman" w:eastAsiaTheme="majorEastAsia" w:hAnsi="Times New Roman" w:cs="Times New Roman"/>
                <w:sz w:val="24"/>
                <w:szCs w:val="24"/>
                <w:lang w:val="ro-RO" w:eastAsia="en-US"/>
              </w:rPr>
              <w:t xml:space="preserve"> – economica de dezvoltare a exploatării zăcământului</w:t>
            </w:r>
            <w:r w:rsidR="00CB256B" w:rsidRPr="00E40663">
              <w:rPr>
                <w:rFonts w:ascii="Times New Roman" w:eastAsiaTheme="majorEastAsia" w:hAnsi="Times New Roman" w:cs="Times New Roman"/>
                <w:sz w:val="24"/>
                <w:szCs w:val="24"/>
                <w:lang w:val="ro-RO" w:eastAsia="en-US"/>
              </w:rPr>
              <w:t>.</w:t>
            </w:r>
          </w:p>
        </w:tc>
      </w:tr>
      <w:tr w:rsidR="0008230D" w:rsidRPr="00903C3A" w14:paraId="2655FB63" w14:textId="77777777" w:rsidTr="006F4A54">
        <w:tc>
          <w:tcPr>
            <w:tcW w:w="10350" w:type="dxa"/>
          </w:tcPr>
          <w:p w14:paraId="2898A1FB"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lastRenderedPageBreak/>
              <w:t>2.3 Schimbări preconizate</w:t>
            </w:r>
          </w:p>
          <w:p w14:paraId="6CBB1B1F" w14:textId="12FF39C9" w:rsidR="00B95D56" w:rsidRPr="00E40663" w:rsidRDefault="00B95D56"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Adoptarea prezentului act normativ este imperioasa in vederea </w:t>
            </w:r>
            <w:r w:rsidR="00DA403E" w:rsidRPr="00E40663">
              <w:rPr>
                <w:rFonts w:ascii="Times New Roman" w:eastAsiaTheme="majorEastAsia" w:hAnsi="Times New Roman" w:cs="Times New Roman"/>
                <w:sz w:val="24"/>
                <w:szCs w:val="24"/>
                <w:lang w:val="ro-RO" w:eastAsia="en-US"/>
              </w:rPr>
              <w:t>implementării</w:t>
            </w:r>
            <w:r w:rsidRPr="00E40663">
              <w:rPr>
                <w:rFonts w:ascii="Times New Roman" w:eastAsiaTheme="majorEastAsia" w:hAnsi="Times New Roman" w:cs="Times New Roman"/>
                <w:sz w:val="24"/>
                <w:szCs w:val="24"/>
                <w:lang w:val="ro-RO" w:eastAsia="en-US"/>
              </w:rPr>
              <w:t xml:space="preserve"> de </w:t>
            </w:r>
            <w:r w:rsidR="00DA403E" w:rsidRPr="00E40663">
              <w:rPr>
                <w:rFonts w:ascii="Times New Roman" w:eastAsiaTheme="majorEastAsia" w:hAnsi="Times New Roman" w:cs="Times New Roman"/>
                <w:sz w:val="24"/>
                <w:szCs w:val="24"/>
                <w:lang w:val="ro-RO" w:eastAsia="en-US"/>
              </w:rPr>
              <w:t>către</w:t>
            </w:r>
            <w:r w:rsidRPr="00E40663">
              <w:rPr>
                <w:rFonts w:ascii="Times New Roman" w:eastAsiaTheme="majorEastAsia" w:hAnsi="Times New Roman" w:cs="Times New Roman"/>
                <w:sz w:val="24"/>
                <w:szCs w:val="24"/>
                <w:lang w:val="ro-RO" w:eastAsia="en-US"/>
              </w:rPr>
              <w:t xml:space="preserve">  Societatea Națională a Sării S.A.,</w:t>
            </w:r>
            <w:r w:rsidRPr="00E40663">
              <w:rPr>
                <w:rFonts w:ascii="Times New Roman" w:eastAsiaTheme="majorEastAsia" w:hAnsi="Times New Roman" w:cs="Times New Roman"/>
                <w:bCs/>
                <w:sz w:val="24"/>
                <w:szCs w:val="24"/>
                <w:lang w:val="ro-RO" w:eastAsia="en-US"/>
              </w:rPr>
              <w:t xml:space="preserve"> companie de stat din portofoliul MEDAT, a</w:t>
            </w:r>
            <w:r w:rsidRPr="00E40663">
              <w:rPr>
                <w:rFonts w:ascii="Times New Roman" w:eastAsiaTheme="majorEastAsia" w:hAnsi="Times New Roman" w:cs="Times New Roman"/>
                <w:sz w:val="24"/>
                <w:szCs w:val="24"/>
                <w:lang w:val="ro-RO" w:eastAsia="en-US"/>
              </w:rPr>
              <w:t xml:space="preserve"> proiectului strategic „</w:t>
            </w:r>
            <w:proofErr w:type="spellStart"/>
            <w:r w:rsidRPr="00E40663">
              <w:rPr>
                <w:rFonts w:ascii="Times New Roman" w:eastAsiaTheme="majorEastAsia" w:hAnsi="Times New Roman" w:cs="Times New Roman"/>
                <w:sz w:val="24"/>
                <w:szCs w:val="24"/>
                <w:lang w:val="ro-RO" w:eastAsia="en-US"/>
              </w:rPr>
              <w:t>Battery</w:t>
            </w:r>
            <w:proofErr w:type="spellEnd"/>
            <w:r w:rsidRPr="00E40663">
              <w:rPr>
                <w:rFonts w:ascii="Times New Roman" w:eastAsiaTheme="majorEastAsia" w:hAnsi="Times New Roman" w:cs="Times New Roman"/>
                <w:sz w:val="24"/>
                <w:szCs w:val="24"/>
                <w:lang w:val="ro-RO" w:eastAsia="en-US"/>
              </w:rPr>
              <w:t xml:space="preserve">-Grade </w:t>
            </w:r>
            <w:proofErr w:type="spellStart"/>
            <w:r w:rsidRPr="00E40663">
              <w:rPr>
                <w:rFonts w:ascii="Times New Roman" w:eastAsiaTheme="majorEastAsia" w:hAnsi="Times New Roman" w:cs="Times New Roman"/>
                <w:sz w:val="24"/>
                <w:szCs w:val="24"/>
                <w:lang w:val="ro-RO" w:eastAsia="en-US"/>
              </w:rPr>
              <w:t>Graphite</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Extraction</w:t>
            </w:r>
            <w:proofErr w:type="spellEnd"/>
            <w:r w:rsidRPr="00E40663">
              <w:rPr>
                <w:rFonts w:ascii="Times New Roman" w:eastAsiaTheme="majorEastAsia" w:hAnsi="Times New Roman" w:cs="Times New Roman"/>
                <w:sz w:val="24"/>
                <w:szCs w:val="24"/>
                <w:lang w:val="ro-RO" w:eastAsia="en-US"/>
              </w:rPr>
              <w:t xml:space="preserve"> Proiect at Baia de Fier Site </w:t>
            </w:r>
            <w:proofErr w:type="spellStart"/>
            <w:r w:rsidRPr="00E40663">
              <w:rPr>
                <w:rFonts w:ascii="Times New Roman" w:eastAsiaTheme="majorEastAsia" w:hAnsi="Times New Roman" w:cs="Times New Roman"/>
                <w:sz w:val="24"/>
                <w:szCs w:val="24"/>
                <w:lang w:val="ro-RO" w:eastAsia="en-US"/>
              </w:rPr>
              <w:t>Sustainable</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Development</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and</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Innovation</w:t>
            </w:r>
            <w:proofErr w:type="spellEnd"/>
            <w:r w:rsidRPr="00E40663">
              <w:rPr>
                <w:rFonts w:ascii="Times New Roman" w:eastAsiaTheme="majorEastAsia" w:hAnsi="Times New Roman" w:cs="Times New Roman"/>
                <w:sz w:val="24"/>
                <w:szCs w:val="24"/>
                <w:lang w:val="ro-RO" w:eastAsia="en-US"/>
              </w:rPr>
              <w:t xml:space="preserve"> for </w:t>
            </w:r>
            <w:proofErr w:type="spellStart"/>
            <w:r w:rsidRPr="00E40663">
              <w:rPr>
                <w:rFonts w:ascii="Times New Roman" w:eastAsiaTheme="majorEastAsia" w:hAnsi="Times New Roman" w:cs="Times New Roman"/>
                <w:sz w:val="24"/>
                <w:szCs w:val="24"/>
                <w:lang w:val="ro-RO" w:eastAsia="en-US"/>
              </w:rPr>
              <w:t>the</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Future</w:t>
            </w:r>
            <w:proofErr w:type="spellEnd"/>
            <w:r w:rsidRPr="00E40663">
              <w:rPr>
                <w:rFonts w:ascii="Times New Roman" w:eastAsiaTheme="majorEastAsia" w:hAnsi="Times New Roman" w:cs="Times New Roman"/>
                <w:sz w:val="24"/>
                <w:szCs w:val="24"/>
                <w:lang w:val="ro-RO" w:eastAsia="en-US"/>
              </w:rPr>
              <w:t xml:space="preserve"> of Energy of </w:t>
            </w:r>
            <w:proofErr w:type="spellStart"/>
            <w:r w:rsidRPr="00E40663">
              <w:rPr>
                <w:rFonts w:ascii="Times New Roman" w:eastAsiaTheme="majorEastAsia" w:hAnsi="Times New Roman" w:cs="Times New Roman"/>
                <w:sz w:val="24"/>
                <w:szCs w:val="24"/>
                <w:lang w:val="ro-RO" w:eastAsia="en-US"/>
              </w:rPr>
              <w:t>the</w:t>
            </w:r>
            <w:proofErr w:type="spellEnd"/>
            <w:r w:rsidRPr="00E40663">
              <w:rPr>
                <w:rFonts w:ascii="Times New Roman" w:eastAsiaTheme="majorEastAsia" w:hAnsi="Times New Roman" w:cs="Times New Roman"/>
                <w:sz w:val="24"/>
                <w:szCs w:val="24"/>
                <w:lang w:val="ro-RO" w:eastAsia="en-US"/>
              </w:rPr>
              <w:t xml:space="preserve"> European Union", proiect adoptat de către Comisia Europeană la numărul 43 din lista Proiectelor Strategice prin DECIZIA COMISIEI</w:t>
            </w:r>
          </w:p>
          <w:p w14:paraId="09665850" w14:textId="77777777" w:rsidR="00D95F9B" w:rsidRPr="00E40663" w:rsidRDefault="00B95D56"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Neadoptarea prezentei hotărâri generează riscul pierderii de către compania națională promotoare a proiectului a oportunităților de finanțare a proiectelor strategice create de acest regulament și implicit a oportunității de relansare la nivel național a domeniului resurselor minerale neenergetice, sector economic de importanță critică în atingerea obiectivelor strategice economice și realizarea tranziției energetice către tehnologii verzi în vederea combaterii efectelor schimbărilor climatice</w:t>
            </w:r>
            <w:r w:rsidR="00D95F9B" w:rsidRPr="00E40663">
              <w:rPr>
                <w:rFonts w:ascii="Times New Roman" w:eastAsiaTheme="majorEastAsia" w:hAnsi="Times New Roman" w:cs="Times New Roman"/>
                <w:sz w:val="24"/>
                <w:szCs w:val="24"/>
                <w:lang w:val="ro-RO" w:eastAsia="en-US"/>
              </w:rPr>
              <w:t>.</w:t>
            </w:r>
          </w:p>
          <w:p w14:paraId="01E41714" w14:textId="727C5CB6" w:rsidR="0008230D" w:rsidRPr="00E40663" w:rsidRDefault="00D95F9B"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t>Re</w:t>
            </w:r>
            <w:r w:rsidR="003B09C5" w:rsidRPr="00E40663">
              <w:rPr>
                <w:rFonts w:ascii="Times New Roman" w:eastAsiaTheme="majorEastAsia" w:hAnsi="Times New Roman" w:cs="Times New Roman"/>
                <w:sz w:val="24"/>
                <w:szCs w:val="24"/>
                <w:lang w:val="ro-RO" w:eastAsia="en-US"/>
              </w:rPr>
              <w:t>luarea</w:t>
            </w:r>
            <w:r w:rsidRPr="00E40663">
              <w:rPr>
                <w:rFonts w:ascii="Times New Roman" w:eastAsiaTheme="majorEastAsia" w:hAnsi="Times New Roman" w:cs="Times New Roman"/>
                <w:sz w:val="24"/>
                <w:szCs w:val="24"/>
                <w:lang w:val="ro-RO" w:eastAsia="en-US"/>
              </w:rPr>
              <w:t xml:space="preserve"> activității miniere în perimetrul Ungurelașu – Polovragi implica </w:t>
            </w:r>
            <w:r w:rsidR="00255293" w:rsidRPr="00E40663">
              <w:rPr>
                <w:rFonts w:ascii="Times New Roman" w:eastAsiaTheme="majorEastAsia" w:hAnsi="Times New Roman" w:cs="Times New Roman"/>
                <w:sz w:val="24"/>
                <w:szCs w:val="24"/>
                <w:lang w:val="ro-RO" w:eastAsia="en-US"/>
              </w:rPr>
              <w:t xml:space="preserve">modificarea HG nr. 1008/2006 si a HG 644/2007, prin </w:t>
            </w:r>
            <w:r w:rsidRPr="00E40663">
              <w:rPr>
                <w:rFonts w:ascii="Times New Roman" w:eastAsiaTheme="majorEastAsia" w:hAnsi="Times New Roman" w:cs="Times New Roman"/>
                <w:sz w:val="24"/>
                <w:szCs w:val="24"/>
                <w:lang w:val="ro-RO" w:eastAsia="en-US"/>
              </w:rPr>
              <w:t>e</w:t>
            </w:r>
            <w:r w:rsidR="00CF6AED" w:rsidRPr="00E40663">
              <w:rPr>
                <w:rFonts w:ascii="Times New Roman" w:eastAsiaTheme="majorEastAsia" w:hAnsi="Times New Roman" w:cs="Times New Roman"/>
                <w:sz w:val="24"/>
                <w:szCs w:val="24"/>
                <w:lang w:val="ro-RO" w:eastAsia="en-US"/>
              </w:rPr>
              <w:t xml:space="preserve">liminarea </w:t>
            </w:r>
            <w:r w:rsidR="008C65FA" w:rsidRPr="00E40663">
              <w:rPr>
                <w:rFonts w:ascii="Times New Roman" w:eastAsiaTheme="majorEastAsia" w:hAnsi="Times New Roman" w:cs="Times New Roman"/>
                <w:sz w:val="24"/>
                <w:szCs w:val="24"/>
                <w:lang w:val="ro-RO" w:eastAsia="en-US"/>
              </w:rPr>
              <w:t>poziției</w:t>
            </w:r>
            <w:r w:rsidR="00CF6AED" w:rsidRPr="00E40663">
              <w:rPr>
                <w:rFonts w:ascii="Times New Roman" w:eastAsiaTheme="majorEastAsia" w:hAnsi="Times New Roman" w:cs="Times New Roman"/>
                <w:sz w:val="24"/>
                <w:szCs w:val="24"/>
                <w:lang w:val="ro-RO" w:eastAsia="en-US"/>
              </w:rPr>
              <w:t xml:space="preserve"> 51 din Anexa 1 Lista minelor si carierelor care se </w:t>
            </w:r>
            <w:r w:rsidR="008C65FA" w:rsidRPr="00E40663">
              <w:rPr>
                <w:rFonts w:ascii="Times New Roman" w:eastAsiaTheme="majorEastAsia" w:hAnsi="Times New Roman" w:cs="Times New Roman"/>
                <w:sz w:val="24"/>
                <w:szCs w:val="24"/>
                <w:lang w:val="ro-RO" w:eastAsia="en-US"/>
              </w:rPr>
              <w:t>închid</w:t>
            </w:r>
            <w:r w:rsidR="00CF6AED" w:rsidRPr="00E40663">
              <w:rPr>
                <w:rFonts w:ascii="Times New Roman" w:eastAsiaTheme="majorEastAsia" w:hAnsi="Times New Roman" w:cs="Times New Roman"/>
                <w:sz w:val="24"/>
                <w:szCs w:val="24"/>
                <w:lang w:val="ro-RO" w:eastAsia="en-US"/>
              </w:rPr>
              <w:t xml:space="preserve"> in etapa a IX-a, respectiv eliminarea </w:t>
            </w:r>
            <w:r w:rsidR="008C65FA" w:rsidRPr="00E40663">
              <w:rPr>
                <w:rFonts w:ascii="Times New Roman" w:eastAsiaTheme="majorEastAsia" w:hAnsi="Times New Roman" w:cs="Times New Roman"/>
                <w:sz w:val="24"/>
                <w:szCs w:val="24"/>
                <w:lang w:val="ro-RO" w:eastAsia="en-US"/>
              </w:rPr>
              <w:t>poziției</w:t>
            </w:r>
            <w:r w:rsidR="00CF6AED" w:rsidRPr="00E40663">
              <w:rPr>
                <w:rFonts w:ascii="Times New Roman" w:eastAsiaTheme="majorEastAsia" w:hAnsi="Times New Roman" w:cs="Times New Roman"/>
                <w:sz w:val="24"/>
                <w:szCs w:val="24"/>
                <w:lang w:val="ro-RO" w:eastAsia="en-US"/>
              </w:rPr>
              <w:t xml:space="preserve"> 48 din Anexa 1 Lista minelor si carierelor care se </w:t>
            </w:r>
            <w:r w:rsidR="008C65FA" w:rsidRPr="00E40663">
              <w:rPr>
                <w:rFonts w:ascii="Times New Roman" w:eastAsiaTheme="majorEastAsia" w:hAnsi="Times New Roman" w:cs="Times New Roman"/>
                <w:sz w:val="24"/>
                <w:szCs w:val="24"/>
                <w:lang w:val="ro-RO" w:eastAsia="en-US"/>
              </w:rPr>
              <w:t>închid</w:t>
            </w:r>
            <w:r w:rsidR="00CF6AED" w:rsidRPr="00E40663">
              <w:rPr>
                <w:rFonts w:ascii="Times New Roman" w:eastAsiaTheme="majorEastAsia" w:hAnsi="Times New Roman" w:cs="Times New Roman"/>
                <w:sz w:val="24"/>
                <w:szCs w:val="24"/>
                <w:lang w:val="ro-RO" w:eastAsia="en-US"/>
              </w:rPr>
              <w:t xml:space="preserve"> in etapa a IX-a.</w:t>
            </w:r>
          </w:p>
        </w:tc>
      </w:tr>
      <w:tr w:rsidR="0008230D" w:rsidRPr="00E40663" w14:paraId="679BA6EE" w14:textId="77777777" w:rsidTr="006F4A54">
        <w:tc>
          <w:tcPr>
            <w:tcW w:w="10350" w:type="dxa"/>
          </w:tcPr>
          <w:p w14:paraId="64E95CD8" w14:textId="3695C90D" w:rsidR="0018269C" w:rsidRPr="00E40663" w:rsidRDefault="0008230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Cs/>
                <w:sz w:val="24"/>
                <w:szCs w:val="24"/>
                <w:lang w:val="ro-RO" w:eastAsia="en-US"/>
              </w:rPr>
              <w:t>2.4 Alte informații *)</w:t>
            </w:r>
          </w:p>
        </w:tc>
      </w:tr>
      <w:tr w:rsidR="0008230D" w:rsidRPr="00903C3A" w14:paraId="37CA3BDE" w14:textId="77777777" w:rsidTr="006F4A54">
        <w:tc>
          <w:tcPr>
            <w:tcW w:w="10350" w:type="dxa"/>
          </w:tcPr>
          <w:p w14:paraId="4CE85C13" w14:textId="4175A710" w:rsidR="0008230D" w:rsidRPr="00E40663" w:rsidRDefault="0008230D" w:rsidP="006F4A54">
            <w:pPr>
              <w:spacing w:before="120" w:after="120"/>
              <w:jc w:val="center"/>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b/>
                <w:sz w:val="24"/>
                <w:szCs w:val="24"/>
                <w:lang w:val="ro-RO" w:eastAsia="en-US"/>
              </w:rPr>
              <w:t>Secțiunea a 3-a:</w:t>
            </w:r>
          </w:p>
          <w:p w14:paraId="56DEAE1C" w14:textId="33469A2F" w:rsidR="00A43BAE" w:rsidRPr="00E40663" w:rsidRDefault="0008230D" w:rsidP="006F4A54">
            <w:pPr>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sz w:val="24"/>
                <w:szCs w:val="24"/>
                <w:lang w:val="ro-RO" w:eastAsia="en-US"/>
              </w:rPr>
              <w:t>Impactul socioeconomic **)</w:t>
            </w:r>
          </w:p>
        </w:tc>
      </w:tr>
      <w:tr w:rsidR="0008230D" w:rsidRPr="00903C3A" w14:paraId="6EBA2D08" w14:textId="77777777" w:rsidTr="006F4A54">
        <w:tc>
          <w:tcPr>
            <w:tcW w:w="10350" w:type="dxa"/>
          </w:tcPr>
          <w:p w14:paraId="6467895D"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3.1 Descrierea generală a beneficiilor și costurilor estimate ca urmare a intrării în vigoare a actului normativ</w:t>
            </w:r>
          </w:p>
          <w:p w14:paraId="7B996200" w14:textId="77777777" w:rsidR="00071A09" w:rsidRPr="00E40663" w:rsidRDefault="00071A09"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În Europa există zăcăminte de grafit exploatate într-un grup restrâns de țări ca Ucraina, Rusia, Cehia, Norvegia și Turcia, dar acestea sunt nesemnificative sub aspect cantitativ și calitativ.</w:t>
            </w:r>
          </w:p>
          <w:p w14:paraId="3F4E1047" w14:textId="2FC4C3A8" w:rsidR="0008230D" w:rsidRPr="00E40663" w:rsidRDefault="00071A09"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Dependența totala a UE de importuri în prezent poate asigura statutului roman o cotă de piață foarte importantă ulterior </w:t>
            </w:r>
            <w:r w:rsidR="00B3041D">
              <w:rPr>
                <w:rFonts w:ascii="Times New Roman" w:eastAsiaTheme="majorEastAsia" w:hAnsi="Times New Roman" w:cs="Times New Roman"/>
                <w:sz w:val="24"/>
                <w:szCs w:val="24"/>
                <w:lang w:val="ro-RO" w:eastAsia="en-US"/>
              </w:rPr>
              <w:t>reluării</w:t>
            </w:r>
            <w:r w:rsidRPr="00E40663">
              <w:rPr>
                <w:rFonts w:ascii="Times New Roman" w:eastAsiaTheme="majorEastAsia" w:hAnsi="Times New Roman" w:cs="Times New Roman"/>
                <w:sz w:val="24"/>
                <w:szCs w:val="24"/>
                <w:lang w:val="ro-RO" w:eastAsia="en-US"/>
              </w:rPr>
              <w:t xml:space="preserve"> exploatării grafitului din zăcământul de la Baia de Fier (cuprinzând mina </w:t>
            </w:r>
            <w:proofErr w:type="spellStart"/>
            <w:r w:rsidRPr="00E40663">
              <w:rPr>
                <w:rFonts w:ascii="Times New Roman" w:eastAsiaTheme="majorEastAsia" w:hAnsi="Times New Roman" w:cs="Times New Roman"/>
                <w:sz w:val="24"/>
                <w:szCs w:val="24"/>
                <w:lang w:val="ro-RO" w:eastAsia="en-US"/>
              </w:rPr>
              <w:t>Cătălinu</w:t>
            </w:r>
            <w:proofErr w:type="spellEnd"/>
            <w:r w:rsidRPr="00E40663">
              <w:rPr>
                <w:rFonts w:ascii="Times New Roman" w:eastAsiaTheme="majorEastAsia" w:hAnsi="Times New Roman" w:cs="Times New Roman"/>
                <w:sz w:val="24"/>
                <w:szCs w:val="24"/>
                <w:lang w:val="ro-RO" w:eastAsia="en-US"/>
              </w:rPr>
              <w:t xml:space="preserve"> </w:t>
            </w:r>
            <w:proofErr w:type="spellStart"/>
            <w:r w:rsidRPr="00E40663">
              <w:rPr>
                <w:rFonts w:ascii="Times New Roman" w:eastAsiaTheme="majorEastAsia" w:hAnsi="Times New Roman" w:cs="Times New Roman"/>
                <w:sz w:val="24"/>
                <w:szCs w:val="24"/>
                <w:lang w:val="ro-RO" w:eastAsia="en-US"/>
              </w:rPr>
              <w:t>şi</w:t>
            </w:r>
            <w:proofErr w:type="spellEnd"/>
            <w:r w:rsidRPr="00E40663">
              <w:rPr>
                <w:rFonts w:ascii="Times New Roman" w:eastAsiaTheme="majorEastAsia" w:hAnsi="Times New Roman" w:cs="Times New Roman"/>
                <w:sz w:val="24"/>
                <w:szCs w:val="24"/>
                <w:lang w:val="ro-RO" w:eastAsia="en-US"/>
              </w:rPr>
              <w:t xml:space="preserve"> cariera </w:t>
            </w:r>
            <w:proofErr w:type="spellStart"/>
            <w:r w:rsidRPr="00E40663">
              <w:rPr>
                <w:rFonts w:ascii="Times New Roman" w:eastAsiaTheme="majorEastAsia" w:hAnsi="Times New Roman" w:cs="Times New Roman"/>
                <w:sz w:val="24"/>
                <w:szCs w:val="24"/>
                <w:lang w:val="ro-RO" w:eastAsia="en-US"/>
              </w:rPr>
              <w:t>Ungurelaşu</w:t>
            </w:r>
            <w:proofErr w:type="spellEnd"/>
            <w:r w:rsidRPr="00E40663">
              <w:rPr>
                <w:rFonts w:ascii="Times New Roman" w:eastAsiaTheme="majorEastAsia" w:hAnsi="Times New Roman" w:cs="Times New Roman"/>
                <w:sz w:val="24"/>
                <w:szCs w:val="24"/>
                <w:lang w:val="ro-RO" w:eastAsia="en-US"/>
              </w:rPr>
              <w:t xml:space="preserve">), acesta putând constitui materie primă pentru o gamă foarte variată de produse specifice tehnologiilor avansate din industriile auto (baterii pentru vehicule electrice), electronică (producerea </w:t>
            </w:r>
            <w:proofErr w:type="spellStart"/>
            <w:r w:rsidRPr="00E40663">
              <w:rPr>
                <w:rFonts w:ascii="Times New Roman" w:eastAsiaTheme="majorEastAsia" w:hAnsi="Times New Roman" w:cs="Times New Roman"/>
                <w:sz w:val="24"/>
                <w:szCs w:val="24"/>
                <w:lang w:val="ro-RO" w:eastAsia="en-US"/>
              </w:rPr>
              <w:t>grafenei</w:t>
            </w:r>
            <w:proofErr w:type="spellEnd"/>
            <w:r w:rsidRPr="00E40663">
              <w:rPr>
                <w:rFonts w:ascii="Times New Roman" w:eastAsiaTheme="majorEastAsia" w:hAnsi="Times New Roman" w:cs="Times New Roman"/>
                <w:sz w:val="24"/>
                <w:szCs w:val="24"/>
                <w:lang w:val="ro-RO" w:eastAsia="en-US"/>
              </w:rPr>
              <w:t>) și constructoare de mașini.</w:t>
            </w:r>
          </w:p>
          <w:p w14:paraId="730DAD31" w14:textId="534DFA26" w:rsidR="00071A09" w:rsidRPr="00E40663" w:rsidRDefault="00071A09"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In condițiile actuale ale pieței si la nivelul actual al prețului grafitului pur, de aproximativ 20.000USD/tona, </w:t>
            </w:r>
            <w:r w:rsidR="00B3041D">
              <w:rPr>
                <w:rFonts w:ascii="Times New Roman" w:eastAsiaTheme="majorEastAsia" w:hAnsi="Times New Roman" w:cs="Times New Roman"/>
                <w:sz w:val="24"/>
                <w:szCs w:val="24"/>
                <w:lang w:val="ro-RO" w:eastAsia="en-US"/>
              </w:rPr>
              <w:t>reluarea</w:t>
            </w:r>
            <w:r w:rsidRPr="00E40663">
              <w:rPr>
                <w:rFonts w:ascii="Times New Roman" w:eastAsiaTheme="majorEastAsia" w:hAnsi="Times New Roman" w:cs="Times New Roman"/>
                <w:sz w:val="24"/>
                <w:szCs w:val="24"/>
                <w:lang w:val="ro-RO" w:eastAsia="en-US"/>
              </w:rPr>
              <w:t xml:space="preserve"> activității în perimetrul Ungurelașu – Polovragi in cadrul implementării de către SNS SALROM a proiectului strategic menționat anterior, cu atingerea țintei de producție de 15.000 tone/an stabilite in proiect, poate genera companiei venituri de aproximativ 300</w:t>
            </w:r>
            <w:r w:rsidR="00122569" w:rsidRPr="00E40663">
              <w:rPr>
                <w:rFonts w:ascii="Times New Roman" w:eastAsiaTheme="majorEastAsia" w:hAnsi="Times New Roman" w:cs="Times New Roman"/>
                <w:sz w:val="24"/>
                <w:szCs w:val="24"/>
                <w:lang w:val="ro-RO" w:eastAsia="en-US"/>
              </w:rPr>
              <w:t xml:space="preserve"> </w:t>
            </w:r>
            <w:r w:rsidRPr="00E40663">
              <w:rPr>
                <w:rFonts w:ascii="Times New Roman" w:eastAsiaTheme="majorEastAsia" w:hAnsi="Times New Roman" w:cs="Times New Roman"/>
                <w:sz w:val="24"/>
                <w:szCs w:val="24"/>
                <w:lang w:val="ro-RO" w:eastAsia="en-US"/>
              </w:rPr>
              <w:t>de milioane de dolari anual, cu o contribuție însemnată la bugetul de stat prin plata taxelor si redevențelor si a dividendelor.</w:t>
            </w:r>
          </w:p>
        </w:tc>
      </w:tr>
      <w:tr w:rsidR="0008230D" w:rsidRPr="00903C3A" w14:paraId="13AF119A" w14:textId="77777777" w:rsidTr="006F4A54">
        <w:tc>
          <w:tcPr>
            <w:tcW w:w="10350" w:type="dxa"/>
          </w:tcPr>
          <w:p w14:paraId="775E6C09"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3.2 Impactul social</w:t>
            </w:r>
          </w:p>
          <w:p w14:paraId="7C639744" w14:textId="25B74CB9" w:rsidR="0008230D" w:rsidRPr="00E40663" w:rsidRDefault="003B09C5"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lastRenderedPageBreak/>
              <w:t xml:space="preserve">Reluarea activității miniere </w:t>
            </w:r>
            <w:r w:rsidR="00CF6AED" w:rsidRPr="00E40663">
              <w:rPr>
                <w:rFonts w:ascii="Times New Roman" w:eastAsiaTheme="majorEastAsia" w:hAnsi="Times New Roman" w:cs="Times New Roman"/>
                <w:sz w:val="24"/>
                <w:szCs w:val="24"/>
                <w:lang w:val="ro-RO" w:eastAsia="en-US"/>
              </w:rPr>
              <w:t xml:space="preserve">va contribui la dezvoltarea regionala </w:t>
            </w:r>
            <w:r w:rsidR="00137008" w:rsidRPr="00E40663">
              <w:rPr>
                <w:rFonts w:ascii="Times New Roman" w:eastAsiaTheme="majorEastAsia" w:hAnsi="Times New Roman" w:cs="Times New Roman"/>
                <w:sz w:val="24"/>
                <w:szCs w:val="24"/>
                <w:lang w:val="ro-RO" w:eastAsia="en-US"/>
              </w:rPr>
              <w:t>atât</w:t>
            </w:r>
            <w:r w:rsidR="00CF6AED" w:rsidRPr="00E40663">
              <w:rPr>
                <w:rFonts w:ascii="Times New Roman" w:eastAsiaTheme="majorEastAsia" w:hAnsi="Times New Roman" w:cs="Times New Roman"/>
                <w:sz w:val="24"/>
                <w:szCs w:val="24"/>
                <w:lang w:val="ro-RO" w:eastAsia="en-US"/>
              </w:rPr>
              <w:t xml:space="preserve"> prin crearea de locuri de munca directe si in </w:t>
            </w:r>
            <w:r w:rsidR="00137008" w:rsidRPr="00E40663">
              <w:rPr>
                <w:rFonts w:ascii="Times New Roman" w:eastAsiaTheme="majorEastAsia" w:hAnsi="Times New Roman" w:cs="Times New Roman"/>
                <w:sz w:val="24"/>
                <w:szCs w:val="24"/>
                <w:lang w:val="ro-RO" w:eastAsia="en-US"/>
              </w:rPr>
              <w:t>activitățile</w:t>
            </w:r>
            <w:r w:rsidR="00CF6AED" w:rsidRPr="00E40663">
              <w:rPr>
                <w:rFonts w:ascii="Times New Roman" w:eastAsiaTheme="majorEastAsia" w:hAnsi="Times New Roman" w:cs="Times New Roman"/>
                <w:sz w:val="24"/>
                <w:szCs w:val="24"/>
                <w:lang w:val="ro-RO" w:eastAsia="en-US"/>
              </w:rPr>
              <w:t xml:space="preserve"> conexe, cat si prin dezvoltarea pe </w:t>
            </w:r>
            <w:r w:rsidR="004569D1" w:rsidRPr="00E40663">
              <w:rPr>
                <w:rFonts w:ascii="Times New Roman" w:eastAsiaTheme="majorEastAsia" w:hAnsi="Times New Roman" w:cs="Times New Roman"/>
                <w:sz w:val="24"/>
                <w:szCs w:val="24"/>
                <w:lang w:val="ro-RO" w:eastAsia="en-US"/>
              </w:rPr>
              <w:t>orizonta</w:t>
            </w:r>
            <w:r w:rsidR="00137008" w:rsidRPr="00E40663">
              <w:rPr>
                <w:rFonts w:ascii="Times New Roman" w:eastAsiaTheme="majorEastAsia" w:hAnsi="Times New Roman" w:cs="Times New Roman"/>
                <w:sz w:val="24"/>
                <w:szCs w:val="24"/>
                <w:lang w:val="ro-RO" w:eastAsia="en-US"/>
              </w:rPr>
              <w:t>lă</w:t>
            </w:r>
            <w:r w:rsidR="00CF6AED" w:rsidRPr="00E40663">
              <w:rPr>
                <w:rFonts w:ascii="Times New Roman" w:eastAsiaTheme="majorEastAsia" w:hAnsi="Times New Roman" w:cs="Times New Roman"/>
                <w:sz w:val="24"/>
                <w:szCs w:val="24"/>
                <w:lang w:val="ro-RO" w:eastAsia="en-US"/>
              </w:rPr>
              <w:t xml:space="preserve"> a altor activit</w:t>
            </w:r>
            <w:r w:rsidR="00EA3C1D" w:rsidRPr="00E40663">
              <w:rPr>
                <w:rFonts w:ascii="Times New Roman" w:eastAsiaTheme="majorEastAsia" w:hAnsi="Times New Roman" w:cs="Times New Roman"/>
                <w:sz w:val="24"/>
                <w:szCs w:val="24"/>
                <w:lang w:val="ro-RO" w:eastAsia="en-US"/>
              </w:rPr>
              <w:t>ăț</w:t>
            </w:r>
            <w:r w:rsidR="00CF6AED" w:rsidRPr="00E40663">
              <w:rPr>
                <w:rFonts w:ascii="Times New Roman" w:eastAsiaTheme="majorEastAsia" w:hAnsi="Times New Roman" w:cs="Times New Roman"/>
                <w:sz w:val="24"/>
                <w:szCs w:val="24"/>
                <w:lang w:val="ro-RO" w:eastAsia="en-US"/>
              </w:rPr>
              <w:t xml:space="preserve">i care au ca obiect prelucrarea si respectiv utilizarea produselor rezultate </w:t>
            </w:r>
            <w:r w:rsidR="00EA3C1D" w:rsidRPr="00E40663">
              <w:rPr>
                <w:rFonts w:ascii="Times New Roman" w:eastAsiaTheme="majorEastAsia" w:hAnsi="Times New Roman" w:cs="Times New Roman"/>
                <w:sz w:val="24"/>
                <w:szCs w:val="24"/>
                <w:lang w:val="ro-RO" w:eastAsia="en-US"/>
              </w:rPr>
              <w:t>î</w:t>
            </w:r>
            <w:r w:rsidR="00CF6AED" w:rsidRPr="00E40663">
              <w:rPr>
                <w:rFonts w:ascii="Times New Roman" w:eastAsiaTheme="majorEastAsia" w:hAnsi="Times New Roman" w:cs="Times New Roman"/>
                <w:sz w:val="24"/>
                <w:szCs w:val="24"/>
                <w:lang w:val="ro-RO" w:eastAsia="en-US"/>
              </w:rPr>
              <w:t>n urma valorific</w:t>
            </w:r>
            <w:r w:rsidR="00F65E55" w:rsidRPr="00E40663">
              <w:rPr>
                <w:rFonts w:ascii="Times New Roman" w:eastAsiaTheme="majorEastAsia" w:hAnsi="Times New Roman" w:cs="Times New Roman"/>
                <w:sz w:val="24"/>
                <w:szCs w:val="24"/>
                <w:lang w:val="ro-RO" w:eastAsia="en-US"/>
              </w:rPr>
              <w:t>ăr</w:t>
            </w:r>
            <w:r w:rsidR="00CF6AED" w:rsidRPr="00E40663">
              <w:rPr>
                <w:rFonts w:ascii="Times New Roman" w:eastAsiaTheme="majorEastAsia" w:hAnsi="Times New Roman" w:cs="Times New Roman"/>
                <w:sz w:val="24"/>
                <w:szCs w:val="24"/>
                <w:lang w:val="ro-RO" w:eastAsia="en-US"/>
              </w:rPr>
              <w:t>ii superioare a grafitului.</w:t>
            </w:r>
          </w:p>
        </w:tc>
      </w:tr>
      <w:tr w:rsidR="0008230D" w:rsidRPr="00E40663" w14:paraId="130BF06F" w14:textId="77777777" w:rsidTr="006F4A54">
        <w:tc>
          <w:tcPr>
            <w:tcW w:w="10350" w:type="dxa"/>
          </w:tcPr>
          <w:p w14:paraId="3E430B33"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lastRenderedPageBreak/>
              <w:t>3.3 Impactul asupra drepturilor și libertăților fundamentale ale omului</w:t>
            </w:r>
          </w:p>
          <w:p w14:paraId="2D117D98" w14:textId="77777777" w:rsidR="0008230D" w:rsidRPr="00E40663" w:rsidRDefault="00CF6AE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8230D" w:rsidRPr="00E40663" w14:paraId="33AF008C" w14:textId="77777777" w:rsidTr="006F4A54">
        <w:tc>
          <w:tcPr>
            <w:tcW w:w="10350" w:type="dxa"/>
          </w:tcPr>
          <w:p w14:paraId="4C139F5A"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3.4 Impactul macroeconomic</w:t>
            </w:r>
          </w:p>
          <w:p w14:paraId="27D50F0C" w14:textId="77777777" w:rsidR="0008230D" w:rsidRPr="00E40663" w:rsidRDefault="00CF6AE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r w:rsidRPr="00E40663">
              <w:rPr>
                <w:rFonts w:ascii="Times New Roman" w:eastAsiaTheme="majorEastAsia" w:hAnsi="Times New Roman" w:cs="Times New Roman"/>
                <w:b/>
                <w:bCs/>
                <w:sz w:val="24"/>
                <w:szCs w:val="24"/>
                <w:lang w:val="ro-RO" w:eastAsia="en-US"/>
              </w:rPr>
              <w:t>.</w:t>
            </w:r>
          </w:p>
        </w:tc>
      </w:tr>
      <w:tr w:rsidR="0008230D" w:rsidRPr="00E40663" w14:paraId="103E7EE4" w14:textId="77777777" w:rsidTr="006F4A54">
        <w:tc>
          <w:tcPr>
            <w:tcW w:w="10350" w:type="dxa"/>
          </w:tcPr>
          <w:p w14:paraId="5BB4D5BF"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3.4.1 Impactul asupra economiei și asupra principalilor indicatori macroeconomici</w:t>
            </w:r>
          </w:p>
          <w:p w14:paraId="4378E6E4" w14:textId="77777777"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8230D" w:rsidRPr="00E40663" w14:paraId="0A39FB6A" w14:textId="77777777" w:rsidTr="006F4A54">
        <w:tc>
          <w:tcPr>
            <w:tcW w:w="10350" w:type="dxa"/>
          </w:tcPr>
          <w:p w14:paraId="48969DEF"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3.4.2 Impactul asupra mediului concurențial si domeniul ajutoarelor de stat</w:t>
            </w:r>
          </w:p>
          <w:p w14:paraId="5535C100" w14:textId="77777777"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8230D" w:rsidRPr="00903C3A" w14:paraId="228B2252" w14:textId="77777777" w:rsidTr="006F4A54">
        <w:tc>
          <w:tcPr>
            <w:tcW w:w="10350" w:type="dxa"/>
          </w:tcPr>
          <w:p w14:paraId="6D6EBFE3"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3.5. Impactul asupra mediului de afaceri</w:t>
            </w:r>
          </w:p>
          <w:p w14:paraId="4CC45203" w14:textId="77777777"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8230D" w:rsidRPr="00903C3A" w14:paraId="30483D12" w14:textId="77777777" w:rsidTr="006F4A54">
        <w:tc>
          <w:tcPr>
            <w:tcW w:w="10350" w:type="dxa"/>
          </w:tcPr>
          <w:p w14:paraId="4EB0667A"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3.6 Impactul asupra mediului înconjurător</w:t>
            </w:r>
          </w:p>
          <w:p w14:paraId="6058231F" w14:textId="32CB0A5A"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Lucr</w:t>
            </w:r>
            <w:r w:rsidR="00F65E55" w:rsidRPr="00E40663">
              <w:rPr>
                <w:rFonts w:ascii="Times New Roman" w:eastAsiaTheme="majorEastAsia" w:hAnsi="Times New Roman" w:cs="Times New Roman"/>
                <w:sz w:val="24"/>
                <w:szCs w:val="24"/>
                <w:lang w:val="ro-RO" w:eastAsia="en-US"/>
              </w:rPr>
              <w:t>ă</w:t>
            </w:r>
            <w:r w:rsidRPr="00E40663">
              <w:rPr>
                <w:rFonts w:ascii="Times New Roman" w:eastAsiaTheme="majorEastAsia" w:hAnsi="Times New Roman" w:cs="Times New Roman"/>
                <w:sz w:val="24"/>
                <w:szCs w:val="24"/>
                <w:lang w:val="ro-RO" w:eastAsia="en-US"/>
              </w:rPr>
              <w:t xml:space="preserve">rile de </w:t>
            </w:r>
            <w:r w:rsidR="003B09C5" w:rsidRPr="00E40663">
              <w:rPr>
                <w:rFonts w:ascii="Times New Roman" w:eastAsiaTheme="majorEastAsia" w:hAnsi="Times New Roman" w:cs="Times New Roman"/>
                <w:sz w:val="24"/>
                <w:szCs w:val="24"/>
                <w:lang w:val="ro-RO" w:eastAsia="en-US"/>
              </w:rPr>
              <w:t>exploatare</w:t>
            </w:r>
            <w:r w:rsidRPr="00E40663">
              <w:rPr>
                <w:rFonts w:ascii="Times New Roman" w:eastAsiaTheme="majorEastAsia" w:hAnsi="Times New Roman" w:cs="Times New Roman"/>
                <w:sz w:val="24"/>
                <w:szCs w:val="24"/>
                <w:lang w:val="ro-RO" w:eastAsia="en-US"/>
              </w:rPr>
              <w:t xml:space="preserve"> si prelucrare vor fi realizate cu respectarea normelor de mediu </w:t>
            </w:r>
            <w:r w:rsidR="00F65E55" w:rsidRPr="00E40663">
              <w:rPr>
                <w:rFonts w:ascii="Times New Roman" w:eastAsiaTheme="majorEastAsia" w:hAnsi="Times New Roman" w:cs="Times New Roman"/>
                <w:sz w:val="24"/>
                <w:szCs w:val="24"/>
                <w:lang w:val="ro-RO" w:eastAsia="en-US"/>
              </w:rPr>
              <w:t>î</w:t>
            </w:r>
            <w:r w:rsidRPr="00E40663">
              <w:rPr>
                <w:rFonts w:ascii="Times New Roman" w:eastAsiaTheme="majorEastAsia" w:hAnsi="Times New Roman" w:cs="Times New Roman"/>
                <w:sz w:val="24"/>
                <w:szCs w:val="24"/>
                <w:lang w:val="ro-RO" w:eastAsia="en-US"/>
              </w:rPr>
              <w:t xml:space="preserve">n vigoare </w:t>
            </w:r>
            <w:r w:rsidR="00F65E55" w:rsidRPr="00E40663">
              <w:rPr>
                <w:rFonts w:ascii="Times New Roman" w:eastAsiaTheme="majorEastAsia" w:hAnsi="Times New Roman" w:cs="Times New Roman"/>
                <w:sz w:val="24"/>
                <w:szCs w:val="24"/>
                <w:lang w:val="ro-RO" w:eastAsia="en-US"/>
              </w:rPr>
              <w:t>ș</w:t>
            </w:r>
            <w:r w:rsidRPr="00E40663">
              <w:rPr>
                <w:rFonts w:ascii="Times New Roman" w:eastAsiaTheme="majorEastAsia" w:hAnsi="Times New Roman" w:cs="Times New Roman"/>
                <w:sz w:val="24"/>
                <w:szCs w:val="24"/>
                <w:lang w:val="ro-RO" w:eastAsia="en-US"/>
              </w:rPr>
              <w:t xml:space="preserve">i va fi </w:t>
            </w:r>
            <w:r w:rsidR="00172764" w:rsidRPr="00E40663">
              <w:rPr>
                <w:rFonts w:ascii="Times New Roman" w:eastAsiaTheme="majorEastAsia" w:hAnsi="Times New Roman" w:cs="Times New Roman"/>
                <w:sz w:val="24"/>
                <w:szCs w:val="24"/>
                <w:lang w:val="ro-RO" w:eastAsia="en-US"/>
              </w:rPr>
              <w:t>urmărită</w:t>
            </w:r>
            <w:r w:rsidRPr="00E40663">
              <w:rPr>
                <w:rFonts w:ascii="Times New Roman" w:eastAsiaTheme="majorEastAsia" w:hAnsi="Times New Roman" w:cs="Times New Roman"/>
                <w:sz w:val="24"/>
                <w:szCs w:val="24"/>
                <w:lang w:val="ro-RO" w:eastAsia="en-US"/>
              </w:rPr>
              <w:t xml:space="preserve"> evolu</w:t>
            </w:r>
            <w:r w:rsidR="00F65E55" w:rsidRPr="00E40663">
              <w:rPr>
                <w:rFonts w:ascii="Times New Roman" w:eastAsiaTheme="majorEastAsia" w:hAnsi="Times New Roman" w:cs="Times New Roman"/>
                <w:sz w:val="24"/>
                <w:szCs w:val="24"/>
                <w:lang w:val="ro-RO" w:eastAsia="en-US"/>
              </w:rPr>
              <w:t>ț</w:t>
            </w:r>
            <w:r w:rsidRPr="00E40663">
              <w:rPr>
                <w:rFonts w:ascii="Times New Roman" w:eastAsiaTheme="majorEastAsia" w:hAnsi="Times New Roman" w:cs="Times New Roman"/>
                <w:sz w:val="24"/>
                <w:szCs w:val="24"/>
                <w:lang w:val="ro-RO" w:eastAsia="en-US"/>
              </w:rPr>
              <w:t xml:space="preserve">ia </w:t>
            </w:r>
            <w:r w:rsidR="00F65E55" w:rsidRPr="00E40663">
              <w:rPr>
                <w:rFonts w:ascii="Times New Roman" w:eastAsiaTheme="majorEastAsia" w:hAnsi="Times New Roman" w:cs="Times New Roman"/>
                <w:sz w:val="24"/>
                <w:szCs w:val="24"/>
                <w:lang w:val="ro-RO" w:eastAsia="en-US"/>
              </w:rPr>
              <w:t>î</w:t>
            </w:r>
            <w:r w:rsidRPr="00E40663">
              <w:rPr>
                <w:rFonts w:ascii="Times New Roman" w:eastAsiaTheme="majorEastAsia" w:hAnsi="Times New Roman" w:cs="Times New Roman"/>
                <w:sz w:val="24"/>
                <w:szCs w:val="24"/>
                <w:lang w:val="ro-RO" w:eastAsia="en-US"/>
              </w:rPr>
              <w:t>n timp a comportamentului din punct de vedere al stabilit</w:t>
            </w:r>
            <w:r w:rsidR="00F65E55" w:rsidRPr="00E40663">
              <w:rPr>
                <w:rFonts w:ascii="Times New Roman" w:eastAsiaTheme="majorEastAsia" w:hAnsi="Times New Roman" w:cs="Times New Roman"/>
                <w:sz w:val="24"/>
                <w:szCs w:val="24"/>
                <w:lang w:val="ro-RO" w:eastAsia="en-US"/>
              </w:rPr>
              <w:t>ăț</w:t>
            </w:r>
            <w:r w:rsidRPr="00E40663">
              <w:rPr>
                <w:rFonts w:ascii="Times New Roman" w:eastAsiaTheme="majorEastAsia" w:hAnsi="Times New Roman" w:cs="Times New Roman"/>
                <w:sz w:val="24"/>
                <w:szCs w:val="24"/>
                <w:lang w:val="ro-RO" w:eastAsia="en-US"/>
              </w:rPr>
              <w:t xml:space="preserve">ii </w:t>
            </w:r>
            <w:r w:rsidR="00F65E55" w:rsidRPr="00E40663">
              <w:rPr>
                <w:rFonts w:ascii="Times New Roman" w:eastAsiaTheme="majorEastAsia" w:hAnsi="Times New Roman" w:cs="Times New Roman"/>
                <w:sz w:val="24"/>
                <w:szCs w:val="24"/>
                <w:lang w:val="ro-RO" w:eastAsia="en-US"/>
              </w:rPr>
              <w:t>ș</w:t>
            </w:r>
            <w:r w:rsidRPr="00E40663">
              <w:rPr>
                <w:rFonts w:ascii="Times New Roman" w:eastAsiaTheme="majorEastAsia" w:hAnsi="Times New Roman" w:cs="Times New Roman"/>
                <w:sz w:val="24"/>
                <w:szCs w:val="24"/>
                <w:lang w:val="ro-RO" w:eastAsia="en-US"/>
              </w:rPr>
              <w:t xml:space="preserve">i dinamicii </w:t>
            </w:r>
            <w:proofErr w:type="spellStart"/>
            <w:r w:rsidRPr="00E40663">
              <w:rPr>
                <w:rFonts w:ascii="Times New Roman" w:eastAsiaTheme="majorEastAsia" w:hAnsi="Times New Roman" w:cs="Times New Roman"/>
                <w:sz w:val="24"/>
                <w:szCs w:val="24"/>
                <w:lang w:val="ro-RO" w:eastAsia="en-US"/>
              </w:rPr>
              <w:t>fizico</w:t>
            </w:r>
            <w:proofErr w:type="spellEnd"/>
            <w:r w:rsidRPr="00E40663">
              <w:rPr>
                <w:rFonts w:ascii="Times New Roman" w:eastAsiaTheme="majorEastAsia" w:hAnsi="Times New Roman" w:cs="Times New Roman"/>
                <w:sz w:val="24"/>
                <w:szCs w:val="24"/>
                <w:lang w:val="ro-RO" w:eastAsia="en-US"/>
              </w:rPr>
              <w:t xml:space="preserve">-chimice a iazului de decantare </w:t>
            </w:r>
            <w:r w:rsidR="00F65E55" w:rsidRPr="00E40663">
              <w:rPr>
                <w:rFonts w:ascii="Times New Roman" w:eastAsiaTheme="majorEastAsia" w:hAnsi="Times New Roman" w:cs="Times New Roman"/>
                <w:sz w:val="24"/>
                <w:szCs w:val="24"/>
                <w:lang w:val="ro-RO" w:eastAsia="en-US"/>
              </w:rPr>
              <w:t>ș</w:t>
            </w:r>
            <w:r w:rsidRPr="00E40663">
              <w:rPr>
                <w:rFonts w:ascii="Times New Roman" w:eastAsiaTheme="majorEastAsia" w:hAnsi="Times New Roman" w:cs="Times New Roman"/>
                <w:sz w:val="24"/>
                <w:szCs w:val="24"/>
                <w:lang w:val="ro-RO" w:eastAsia="en-US"/>
              </w:rPr>
              <w:t>i haldei de steril.</w:t>
            </w:r>
          </w:p>
        </w:tc>
      </w:tr>
      <w:tr w:rsidR="0008230D" w:rsidRPr="00E40663" w14:paraId="41BB2D51" w14:textId="77777777" w:rsidTr="006F4A54">
        <w:tc>
          <w:tcPr>
            <w:tcW w:w="10350" w:type="dxa"/>
          </w:tcPr>
          <w:p w14:paraId="5E5BA917"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3.7 Evaluarea costurilor și beneficiilor din perspectiva inovării și digitalizării</w:t>
            </w:r>
          </w:p>
          <w:p w14:paraId="7D72B11E" w14:textId="7DD06A6B" w:rsidR="00CF6AE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Romania, ca stat membru UE </w:t>
            </w:r>
            <w:r w:rsidR="00F65E55" w:rsidRPr="00E40663">
              <w:rPr>
                <w:rFonts w:ascii="Times New Roman" w:eastAsiaTheme="majorEastAsia" w:hAnsi="Times New Roman" w:cs="Times New Roman"/>
                <w:sz w:val="24"/>
                <w:szCs w:val="24"/>
                <w:lang w:val="ro-RO" w:eastAsia="en-US"/>
              </w:rPr>
              <w:t>î</w:t>
            </w:r>
            <w:r w:rsidRPr="00E40663">
              <w:rPr>
                <w:rFonts w:ascii="Times New Roman" w:eastAsiaTheme="majorEastAsia" w:hAnsi="Times New Roman" w:cs="Times New Roman"/>
                <w:sz w:val="24"/>
                <w:szCs w:val="24"/>
                <w:lang w:val="ro-RO" w:eastAsia="en-US"/>
              </w:rPr>
              <w:t>n contextul mondial actual, va avea nevoie de valorificarea c</w:t>
            </w:r>
            <w:r w:rsidR="00F65E55" w:rsidRPr="00E40663">
              <w:rPr>
                <w:rFonts w:ascii="Times New Roman" w:eastAsiaTheme="majorEastAsia" w:hAnsi="Times New Roman" w:cs="Times New Roman"/>
                <w:sz w:val="24"/>
                <w:szCs w:val="24"/>
                <w:lang w:val="ro-RO" w:eastAsia="en-US"/>
              </w:rPr>
              <w:t>â</w:t>
            </w:r>
            <w:r w:rsidRPr="00E40663">
              <w:rPr>
                <w:rFonts w:ascii="Times New Roman" w:eastAsiaTheme="majorEastAsia" w:hAnsi="Times New Roman" w:cs="Times New Roman"/>
                <w:sz w:val="24"/>
                <w:szCs w:val="24"/>
                <w:lang w:val="ro-RO" w:eastAsia="en-US"/>
              </w:rPr>
              <w:t>t mai multor materii prime critice pentru fabricarea printre altele a bateriilor si motoarelor electrice, permi</w:t>
            </w:r>
            <w:r w:rsidR="00F65E55" w:rsidRPr="00E40663">
              <w:rPr>
                <w:rFonts w:ascii="Times New Roman" w:eastAsiaTheme="majorEastAsia" w:hAnsi="Times New Roman" w:cs="Times New Roman"/>
                <w:sz w:val="24"/>
                <w:szCs w:val="24"/>
                <w:lang w:val="ro-RO" w:eastAsia="en-US"/>
              </w:rPr>
              <w:t>țâ</w:t>
            </w:r>
            <w:r w:rsidRPr="00E40663">
              <w:rPr>
                <w:rFonts w:ascii="Times New Roman" w:eastAsiaTheme="majorEastAsia" w:hAnsi="Times New Roman" w:cs="Times New Roman"/>
                <w:sz w:val="24"/>
                <w:szCs w:val="24"/>
                <w:lang w:val="ro-RO" w:eastAsia="en-US"/>
              </w:rPr>
              <w:t>nd totodat</w:t>
            </w:r>
            <w:r w:rsidR="00F65E55" w:rsidRPr="00E40663">
              <w:rPr>
                <w:rFonts w:ascii="Times New Roman" w:eastAsiaTheme="majorEastAsia" w:hAnsi="Times New Roman" w:cs="Times New Roman"/>
                <w:sz w:val="24"/>
                <w:szCs w:val="24"/>
                <w:lang w:val="ro-RO" w:eastAsia="en-US"/>
              </w:rPr>
              <w:t>ă</w:t>
            </w:r>
            <w:r w:rsidRPr="00E40663">
              <w:rPr>
                <w:rFonts w:ascii="Times New Roman" w:eastAsiaTheme="majorEastAsia" w:hAnsi="Times New Roman" w:cs="Times New Roman"/>
                <w:sz w:val="24"/>
                <w:szCs w:val="24"/>
                <w:lang w:val="ro-RO" w:eastAsia="en-US"/>
              </w:rPr>
              <w:t xml:space="preserve"> dezvoltarea sectoarelor strategice legate de energia regenerabil</w:t>
            </w:r>
            <w:r w:rsidR="00F65E55" w:rsidRPr="00E40663">
              <w:rPr>
                <w:rFonts w:ascii="Times New Roman" w:eastAsiaTheme="majorEastAsia" w:hAnsi="Times New Roman" w:cs="Times New Roman"/>
                <w:sz w:val="24"/>
                <w:szCs w:val="24"/>
                <w:lang w:val="ro-RO" w:eastAsia="en-US"/>
              </w:rPr>
              <w:t>ă</w:t>
            </w:r>
            <w:r w:rsidRPr="00E40663">
              <w:rPr>
                <w:rFonts w:ascii="Times New Roman" w:eastAsiaTheme="majorEastAsia" w:hAnsi="Times New Roman" w:cs="Times New Roman"/>
                <w:sz w:val="24"/>
                <w:szCs w:val="24"/>
                <w:lang w:val="ro-RO" w:eastAsia="en-US"/>
              </w:rPr>
              <w:t xml:space="preserve">, </w:t>
            </w:r>
            <w:r w:rsidR="00172764" w:rsidRPr="00E40663">
              <w:rPr>
                <w:rFonts w:ascii="Times New Roman" w:eastAsiaTheme="majorEastAsia" w:hAnsi="Times New Roman" w:cs="Times New Roman"/>
                <w:sz w:val="24"/>
                <w:szCs w:val="24"/>
                <w:lang w:val="ro-RO" w:eastAsia="en-US"/>
              </w:rPr>
              <w:t>mașini</w:t>
            </w:r>
            <w:r w:rsidRPr="00E40663">
              <w:rPr>
                <w:rFonts w:ascii="Times New Roman" w:eastAsiaTheme="majorEastAsia" w:hAnsi="Times New Roman" w:cs="Times New Roman"/>
                <w:sz w:val="24"/>
                <w:szCs w:val="24"/>
                <w:lang w:val="ro-RO" w:eastAsia="en-US"/>
              </w:rPr>
              <w:t xml:space="preserve"> electrice sau tehnologiile digitale.</w:t>
            </w:r>
          </w:p>
          <w:p w14:paraId="3401BCF7" w14:textId="626CD33A"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Evaluarea costurilor nu poate fi realizat</w:t>
            </w:r>
            <w:r w:rsidR="00F65E55" w:rsidRPr="00E40663">
              <w:rPr>
                <w:rFonts w:ascii="Times New Roman" w:eastAsiaTheme="majorEastAsia" w:hAnsi="Times New Roman" w:cs="Times New Roman"/>
                <w:sz w:val="24"/>
                <w:szCs w:val="24"/>
                <w:lang w:val="ro-RO" w:eastAsia="en-US"/>
              </w:rPr>
              <w:t>ă</w:t>
            </w:r>
            <w:r w:rsidRPr="00E40663">
              <w:rPr>
                <w:rFonts w:ascii="Times New Roman" w:eastAsiaTheme="majorEastAsia" w:hAnsi="Times New Roman" w:cs="Times New Roman"/>
                <w:sz w:val="24"/>
                <w:szCs w:val="24"/>
                <w:lang w:val="ro-RO" w:eastAsia="en-US"/>
              </w:rPr>
              <w:t xml:space="preserve"> </w:t>
            </w:r>
            <w:r w:rsidR="00F65E55" w:rsidRPr="00E40663">
              <w:rPr>
                <w:rFonts w:ascii="Times New Roman" w:eastAsiaTheme="majorEastAsia" w:hAnsi="Times New Roman" w:cs="Times New Roman"/>
                <w:sz w:val="24"/>
                <w:szCs w:val="24"/>
                <w:lang w:val="ro-RO" w:eastAsia="en-US"/>
              </w:rPr>
              <w:t>î</w:t>
            </w:r>
            <w:r w:rsidRPr="00E40663">
              <w:rPr>
                <w:rFonts w:ascii="Times New Roman" w:eastAsiaTheme="majorEastAsia" w:hAnsi="Times New Roman" w:cs="Times New Roman"/>
                <w:sz w:val="24"/>
                <w:szCs w:val="24"/>
                <w:lang w:val="ro-RO" w:eastAsia="en-US"/>
              </w:rPr>
              <w:t>n acest moment.</w:t>
            </w:r>
          </w:p>
        </w:tc>
      </w:tr>
      <w:tr w:rsidR="0008230D" w:rsidRPr="00903C3A" w14:paraId="178CC598" w14:textId="77777777" w:rsidTr="006F4A54">
        <w:tc>
          <w:tcPr>
            <w:tcW w:w="10350" w:type="dxa"/>
          </w:tcPr>
          <w:p w14:paraId="44C6513F"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shd w:val="clear" w:color="auto" w:fill="FFFFFF" w:themeFill="background1"/>
                <w:lang w:val="ro-RO" w:eastAsia="en-US"/>
              </w:rPr>
              <w:t>3.8 Evaluarea costurilor și beneficiilor din perspectiva dezvoltării durabile</w:t>
            </w:r>
          </w:p>
          <w:p w14:paraId="0727A90B" w14:textId="77777777" w:rsidR="0008230D" w:rsidRPr="00E40663" w:rsidRDefault="00CF6AE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Dezvoltarea durabilă va urmări identificarea unui cadru teoretic stabil pentru luarea deciziilor în orice situație în care se regăsește un raport de tipul om - mediu, fie că este vorba de mediul înconjurător, mediul economic sau mediul social.</w:t>
            </w:r>
          </w:p>
        </w:tc>
      </w:tr>
      <w:tr w:rsidR="0008230D" w:rsidRPr="00E40663" w14:paraId="23C83F3A" w14:textId="77777777" w:rsidTr="006F4A54">
        <w:tc>
          <w:tcPr>
            <w:tcW w:w="10350" w:type="dxa"/>
          </w:tcPr>
          <w:p w14:paraId="0E850D59" w14:textId="77777777" w:rsidR="0008230D" w:rsidRPr="00E40663" w:rsidRDefault="0008230D"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3.9 Alte informații</w:t>
            </w:r>
          </w:p>
          <w:p w14:paraId="215DBA7E" w14:textId="2B4ED89B" w:rsidR="0018269C" w:rsidRPr="00E40663" w:rsidRDefault="00CF6AE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Cs/>
                <w:sz w:val="24"/>
                <w:szCs w:val="24"/>
                <w:lang w:val="ro-RO" w:eastAsia="en-US"/>
              </w:rPr>
              <w:t>Nu sunt.</w:t>
            </w:r>
          </w:p>
        </w:tc>
      </w:tr>
      <w:tr w:rsidR="0008230D" w:rsidRPr="002B2F0D" w14:paraId="6ED162C3" w14:textId="77777777" w:rsidTr="006F4A54">
        <w:tc>
          <w:tcPr>
            <w:tcW w:w="10350" w:type="dxa"/>
          </w:tcPr>
          <w:p w14:paraId="542E6A89" w14:textId="0C16ECF7" w:rsidR="0008230D" w:rsidRPr="00E40663" w:rsidRDefault="0008230D" w:rsidP="006F4A54">
            <w:pPr>
              <w:tabs>
                <w:tab w:val="left" w:pos="567"/>
              </w:tabs>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Secțiunea a 4-a</w:t>
            </w:r>
          </w:p>
          <w:p w14:paraId="60E440BC" w14:textId="0AD886D5" w:rsidR="00CB4F9A" w:rsidRPr="00E40663" w:rsidRDefault="0008230D" w:rsidP="006F4A54">
            <w:pPr>
              <w:spacing w:before="120" w:after="120"/>
              <w:jc w:val="center"/>
              <w:rPr>
                <w:rFonts w:ascii="Times New Roman" w:hAnsi="Times New Roman" w:cs="Times New Roman"/>
                <w:sz w:val="24"/>
                <w:szCs w:val="24"/>
                <w:lang w:val="ro-RO"/>
              </w:rPr>
            </w:pPr>
            <w:r w:rsidRPr="00E40663">
              <w:rPr>
                <w:rFonts w:ascii="Times New Roman" w:hAnsi="Times New Roman" w:cs="Times New Roman"/>
                <w:b/>
                <w:bCs/>
                <w:sz w:val="24"/>
                <w:szCs w:val="24"/>
                <w:lang w:val="ro-RO"/>
              </w:rPr>
              <w:t xml:space="preserve">Impactul financiar asupra bugetului general consolidat atât pe termen scurt, pentru anul curent, cât </w:t>
            </w:r>
            <w:r w:rsidR="008C65FA" w:rsidRPr="00E40663">
              <w:rPr>
                <w:rFonts w:ascii="Times New Roman" w:hAnsi="Times New Roman" w:cs="Times New Roman"/>
                <w:b/>
                <w:bCs/>
                <w:sz w:val="24"/>
                <w:szCs w:val="24"/>
                <w:lang w:val="ro-RO"/>
              </w:rPr>
              <w:t>și</w:t>
            </w:r>
            <w:r w:rsidRPr="00E40663">
              <w:rPr>
                <w:rFonts w:ascii="Times New Roman" w:hAnsi="Times New Roman" w:cs="Times New Roman"/>
                <w:b/>
                <w:bCs/>
                <w:sz w:val="24"/>
                <w:szCs w:val="24"/>
                <w:lang w:val="ro-RO"/>
              </w:rPr>
              <w:t xml:space="preserve"> pe termen lung (pe 5 ani), inclusiv informații cu privire la cheltuieli și venituri.***)</w:t>
            </w:r>
          </w:p>
          <w:p w14:paraId="08730EED" w14:textId="3E973696" w:rsidR="00741DB2" w:rsidRPr="00E40663" w:rsidRDefault="00056B4E" w:rsidP="006F4A54">
            <w:pPr>
              <w:spacing w:before="120" w:after="120"/>
              <w:jc w:val="both"/>
              <w:rPr>
                <w:rFonts w:ascii="Times New Roman" w:hAnsi="Times New Roman" w:cs="Times New Roman"/>
                <w:sz w:val="24"/>
                <w:szCs w:val="24"/>
                <w:lang w:val="ro-RO"/>
              </w:rPr>
            </w:pPr>
            <w:r w:rsidRPr="00E40663">
              <w:rPr>
                <w:rFonts w:ascii="Times New Roman" w:hAnsi="Times New Roman" w:cs="Times New Roman"/>
                <w:sz w:val="24"/>
                <w:szCs w:val="24"/>
                <w:lang w:val="ro-RO"/>
              </w:rPr>
              <w:t xml:space="preserve">Modificarea </w:t>
            </w:r>
            <w:r w:rsidR="00A6612E" w:rsidRPr="00E40663">
              <w:rPr>
                <w:rFonts w:ascii="Times New Roman" w:hAnsi="Times New Roman" w:cs="Times New Roman"/>
                <w:sz w:val="24"/>
                <w:szCs w:val="24"/>
                <w:lang w:val="ro-RO"/>
              </w:rPr>
              <w:t>A</w:t>
            </w:r>
            <w:r w:rsidRPr="00E40663">
              <w:rPr>
                <w:rFonts w:ascii="Times New Roman" w:hAnsi="Times New Roman" w:cs="Times New Roman"/>
                <w:sz w:val="24"/>
                <w:szCs w:val="24"/>
                <w:lang w:val="ro-RO"/>
              </w:rPr>
              <w:t>nexei nr.</w:t>
            </w:r>
            <w:r w:rsidR="00A6612E" w:rsidRPr="00E40663">
              <w:rPr>
                <w:rFonts w:ascii="Times New Roman" w:hAnsi="Times New Roman" w:cs="Times New Roman"/>
                <w:sz w:val="24"/>
                <w:szCs w:val="24"/>
                <w:lang w:val="ro-RO"/>
              </w:rPr>
              <w:t xml:space="preserve"> </w:t>
            </w:r>
            <w:r w:rsidRPr="00E40663">
              <w:rPr>
                <w:rFonts w:ascii="Times New Roman" w:hAnsi="Times New Roman" w:cs="Times New Roman"/>
                <w:sz w:val="24"/>
                <w:szCs w:val="24"/>
                <w:lang w:val="ro-RO"/>
              </w:rPr>
              <w:t xml:space="preserve">1 </w:t>
            </w:r>
            <w:r w:rsidR="008C65FA" w:rsidRPr="00E40663">
              <w:rPr>
                <w:rFonts w:ascii="Times New Roman" w:hAnsi="Times New Roman" w:cs="Times New Roman"/>
                <w:sz w:val="24"/>
                <w:szCs w:val="24"/>
                <w:lang w:val="ro-RO"/>
              </w:rPr>
              <w:t>atât</w:t>
            </w:r>
            <w:r w:rsidRPr="00E40663">
              <w:rPr>
                <w:rFonts w:ascii="Times New Roman" w:hAnsi="Times New Roman" w:cs="Times New Roman"/>
                <w:sz w:val="24"/>
                <w:szCs w:val="24"/>
                <w:lang w:val="ro-RO"/>
              </w:rPr>
              <w:t xml:space="preserve"> la </w:t>
            </w:r>
            <w:r w:rsidR="008C65FA" w:rsidRPr="00E40663">
              <w:rPr>
                <w:rFonts w:ascii="Times New Roman" w:hAnsi="Times New Roman" w:cs="Times New Roman"/>
                <w:sz w:val="24"/>
                <w:szCs w:val="24"/>
                <w:lang w:val="ro-RO"/>
              </w:rPr>
              <w:t>H</w:t>
            </w:r>
            <w:r w:rsidR="00A6612E" w:rsidRPr="00E40663">
              <w:rPr>
                <w:rFonts w:ascii="Times New Roman" w:hAnsi="Times New Roman" w:cs="Times New Roman"/>
                <w:sz w:val="24"/>
                <w:szCs w:val="24"/>
                <w:lang w:val="ro-RO"/>
              </w:rPr>
              <w:t>G</w:t>
            </w:r>
            <w:r w:rsidRPr="00E40663">
              <w:rPr>
                <w:rFonts w:ascii="Times New Roman" w:hAnsi="Times New Roman" w:cs="Times New Roman"/>
                <w:sz w:val="24"/>
                <w:szCs w:val="24"/>
                <w:lang w:val="ro-RO"/>
              </w:rPr>
              <w:t xml:space="preserve"> nr.</w:t>
            </w:r>
            <w:r w:rsidR="00A6612E" w:rsidRPr="00E40663">
              <w:rPr>
                <w:rFonts w:ascii="Times New Roman" w:hAnsi="Times New Roman" w:cs="Times New Roman"/>
                <w:sz w:val="24"/>
                <w:szCs w:val="24"/>
                <w:lang w:val="ro-RO"/>
              </w:rPr>
              <w:t xml:space="preserve"> </w:t>
            </w:r>
            <w:r w:rsidRPr="00E40663">
              <w:rPr>
                <w:rFonts w:ascii="Times New Roman" w:hAnsi="Times New Roman" w:cs="Times New Roman"/>
                <w:sz w:val="24"/>
                <w:szCs w:val="24"/>
                <w:lang w:val="ro-RO"/>
              </w:rPr>
              <w:t xml:space="preserve">1008/2006 cat si la </w:t>
            </w:r>
            <w:r w:rsidR="008C65FA" w:rsidRPr="00E40663">
              <w:rPr>
                <w:rFonts w:ascii="Times New Roman" w:hAnsi="Times New Roman" w:cs="Times New Roman"/>
                <w:sz w:val="24"/>
                <w:szCs w:val="24"/>
                <w:lang w:val="ro-RO"/>
              </w:rPr>
              <w:t>H</w:t>
            </w:r>
            <w:r w:rsidR="00A6612E" w:rsidRPr="00E40663">
              <w:rPr>
                <w:rFonts w:ascii="Times New Roman" w:hAnsi="Times New Roman" w:cs="Times New Roman"/>
                <w:sz w:val="24"/>
                <w:szCs w:val="24"/>
                <w:lang w:val="ro-RO"/>
              </w:rPr>
              <w:t>G</w:t>
            </w:r>
            <w:r w:rsidR="00B0776B" w:rsidRPr="00E40663">
              <w:rPr>
                <w:rFonts w:ascii="Times New Roman" w:hAnsi="Times New Roman" w:cs="Times New Roman"/>
                <w:sz w:val="24"/>
                <w:szCs w:val="24"/>
                <w:lang w:val="ro-RO"/>
              </w:rPr>
              <w:t xml:space="preserve"> nr.</w:t>
            </w:r>
            <w:r w:rsidR="00A6612E" w:rsidRPr="00E40663">
              <w:rPr>
                <w:rFonts w:ascii="Times New Roman" w:hAnsi="Times New Roman" w:cs="Times New Roman"/>
                <w:sz w:val="24"/>
                <w:szCs w:val="24"/>
                <w:lang w:val="ro-RO"/>
              </w:rPr>
              <w:t xml:space="preserve"> </w:t>
            </w:r>
            <w:r w:rsidR="00B0776B" w:rsidRPr="00E40663">
              <w:rPr>
                <w:rFonts w:ascii="Times New Roman" w:hAnsi="Times New Roman" w:cs="Times New Roman"/>
                <w:sz w:val="24"/>
                <w:szCs w:val="24"/>
                <w:lang w:val="ro-RO"/>
              </w:rPr>
              <w:t xml:space="preserve">644/2007 va conduce la realizarea unor economii rezultate din </w:t>
            </w:r>
            <w:r w:rsidR="00AB5B13" w:rsidRPr="00E40663">
              <w:rPr>
                <w:rFonts w:ascii="Times New Roman" w:hAnsi="Times New Roman" w:cs="Times New Roman"/>
                <w:sz w:val="24"/>
                <w:szCs w:val="24"/>
                <w:lang w:val="ro-RO"/>
              </w:rPr>
              <w:t xml:space="preserve">nerealizarea </w:t>
            </w:r>
            <w:r w:rsidR="008C65FA" w:rsidRPr="00E40663">
              <w:rPr>
                <w:rFonts w:ascii="Times New Roman" w:hAnsi="Times New Roman" w:cs="Times New Roman"/>
                <w:sz w:val="24"/>
                <w:szCs w:val="24"/>
                <w:lang w:val="ro-RO"/>
              </w:rPr>
              <w:t>lucrărilor</w:t>
            </w:r>
            <w:r w:rsidR="00AB5B13" w:rsidRPr="00E40663">
              <w:rPr>
                <w:rFonts w:ascii="Times New Roman" w:hAnsi="Times New Roman" w:cs="Times New Roman"/>
                <w:sz w:val="24"/>
                <w:szCs w:val="24"/>
                <w:lang w:val="ro-RO"/>
              </w:rPr>
              <w:t xml:space="preserve"> de </w:t>
            </w:r>
            <w:r w:rsidR="008C65FA" w:rsidRPr="00E40663">
              <w:rPr>
                <w:rFonts w:ascii="Times New Roman" w:hAnsi="Times New Roman" w:cs="Times New Roman"/>
                <w:sz w:val="24"/>
                <w:szCs w:val="24"/>
                <w:lang w:val="ro-RO"/>
              </w:rPr>
              <w:t>închidere</w:t>
            </w:r>
            <w:r w:rsidR="00AB5B13" w:rsidRPr="00E40663">
              <w:rPr>
                <w:rFonts w:ascii="Times New Roman" w:hAnsi="Times New Roman" w:cs="Times New Roman"/>
                <w:sz w:val="24"/>
                <w:szCs w:val="24"/>
                <w:lang w:val="ro-RO"/>
              </w:rPr>
              <w:t xml:space="preserve"> si monitorizare anuala post</w:t>
            </w:r>
            <w:r w:rsidR="008C65FA" w:rsidRPr="00E40663">
              <w:rPr>
                <w:rFonts w:ascii="Times New Roman" w:hAnsi="Times New Roman" w:cs="Times New Roman"/>
                <w:sz w:val="24"/>
                <w:szCs w:val="24"/>
                <w:lang w:val="ro-RO"/>
              </w:rPr>
              <w:t>închidere</w:t>
            </w:r>
            <w:r w:rsidR="00741DB2" w:rsidRPr="00E40663">
              <w:rPr>
                <w:rFonts w:ascii="Times New Roman" w:hAnsi="Times New Roman" w:cs="Times New Roman"/>
                <w:sz w:val="24"/>
                <w:szCs w:val="24"/>
                <w:lang w:val="ro-RO"/>
              </w:rPr>
              <w:t xml:space="preserve">, concomitent cu </w:t>
            </w:r>
            <w:r w:rsidR="00EA3C1D" w:rsidRPr="00E40663">
              <w:rPr>
                <w:rFonts w:ascii="Times New Roman" w:hAnsi="Times New Roman" w:cs="Times New Roman"/>
                <w:sz w:val="24"/>
                <w:szCs w:val="24"/>
                <w:lang w:val="ro-RO"/>
              </w:rPr>
              <w:t>î</w:t>
            </w:r>
            <w:r w:rsidR="00741DB2" w:rsidRPr="00E40663">
              <w:rPr>
                <w:rFonts w:ascii="Times New Roman" w:hAnsi="Times New Roman" w:cs="Times New Roman"/>
                <w:sz w:val="24"/>
                <w:szCs w:val="24"/>
                <w:lang w:val="ro-RO"/>
              </w:rPr>
              <w:t xml:space="preserve">nregistrarea beneficiilor create prin </w:t>
            </w:r>
            <w:r w:rsidR="003B09C5" w:rsidRPr="00E40663">
              <w:rPr>
                <w:rFonts w:ascii="Times New Roman" w:hAnsi="Times New Roman" w:cs="Times New Roman"/>
                <w:sz w:val="24"/>
                <w:szCs w:val="24"/>
                <w:lang w:val="ro-RO"/>
              </w:rPr>
              <w:t>reluarea activității</w:t>
            </w:r>
            <w:r w:rsidR="00741DB2" w:rsidRPr="00E40663">
              <w:rPr>
                <w:rFonts w:ascii="Times New Roman" w:hAnsi="Times New Roman" w:cs="Times New Roman"/>
                <w:sz w:val="24"/>
                <w:szCs w:val="24"/>
                <w:lang w:val="ro-RO"/>
              </w:rPr>
              <w:t xml:space="preserve"> exploat</w:t>
            </w:r>
            <w:r w:rsidR="00EA3C1D" w:rsidRPr="00E40663">
              <w:rPr>
                <w:rFonts w:ascii="Times New Roman" w:hAnsi="Times New Roman" w:cs="Times New Roman"/>
                <w:sz w:val="24"/>
                <w:szCs w:val="24"/>
                <w:lang w:val="ro-RO"/>
              </w:rPr>
              <w:t>ă</w:t>
            </w:r>
            <w:r w:rsidR="00741DB2" w:rsidRPr="00E40663">
              <w:rPr>
                <w:rFonts w:ascii="Times New Roman" w:hAnsi="Times New Roman" w:cs="Times New Roman"/>
                <w:sz w:val="24"/>
                <w:szCs w:val="24"/>
                <w:lang w:val="ro-RO"/>
              </w:rPr>
              <w:t>rilor si valorificarea produsului/produselor finite rezultate</w:t>
            </w:r>
            <w:r w:rsidR="002B2F0D">
              <w:rPr>
                <w:rFonts w:ascii="Times New Roman" w:hAnsi="Times New Roman" w:cs="Times New Roman"/>
                <w:sz w:val="24"/>
                <w:szCs w:val="24"/>
                <w:lang w:val="ro-RO"/>
              </w:rPr>
              <w:t>, având în vedere faptul că sumele alocate conform actelor normative menționate nu au fost cheltuite, iar î</w:t>
            </w:r>
            <w:r w:rsidR="002B2F0D" w:rsidRPr="002B2F0D">
              <w:rPr>
                <w:rFonts w:ascii="Times New Roman" w:hAnsi="Times New Roman" w:cs="Times New Roman"/>
                <w:sz w:val="24"/>
                <w:szCs w:val="24"/>
                <w:lang w:val="ro-RO"/>
              </w:rPr>
              <w:t>ncetarea activității miniere se</w:t>
            </w:r>
            <w:r w:rsidR="002B2F0D">
              <w:rPr>
                <w:rFonts w:ascii="Times New Roman" w:hAnsi="Times New Roman" w:cs="Times New Roman"/>
                <w:sz w:val="24"/>
                <w:szCs w:val="24"/>
                <w:lang w:val="ro-RO"/>
              </w:rPr>
              <w:t xml:space="preserve"> va </w:t>
            </w:r>
            <w:r w:rsidR="002B2F0D" w:rsidRPr="002B2F0D">
              <w:rPr>
                <w:rFonts w:ascii="Times New Roman" w:hAnsi="Times New Roman" w:cs="Times New Roman"/>
                <w:sz w:val="24"/>
                <w:szCs w:val="24"/>
                <w:lang w:val="ro-RO"/>
              </w:rPr>
              <w:t>realiz</w:t>
            </w:r>
            <w:r w:rsidR="002B2F0D">
              <w:rPr>
                <w:rFonts w:ascii="Times New Roman" w:hAnsi="Times New Roman" w:cs="Times New Roman"/>
                <w:sz w:val="24"/>
                <w:szCs w:val="24"/>
                <w:lang w:val="ro-RO"/>
              </w:rPr>
              <w:t>a</w:t>
            </w:r>
            <w:r w:rsidR="002B2F0D" w:rsidRPr="002B2F0D">
              <w:rPr>
                <w:rFonts w:ascii="Times New Roman" w:hAnsi="Times New Roman" w:cs="Times New Roman"/>
                <w:sz w:val="24"/>
                <w:szCs w:val="24"/>
                <w:lang w:val="ro-RO"/>
              </w:rPr>
              <w:t xml:space="preserve"> de către titularul licenței de exploatare, cu fonduri proprii, conform prevederilor Legii minelor nr. 85/2003 cu modificările și completările ulterioare</w:t>
            </w:r>
            <w:r w:rsidR="00741DB2" w:rsidRPr="00E40663">
              <w:rPr>
                <w:rFonts w:ascii="Times New Roman" w:hAnsi="Times New Roman" w:cs="Times New Roman"/>
                <w:sz w:val="24"/>
                <w:szCs w:val="24"/>
                <w:lang w:val="ro-RO"/>
              </w:rPr>
              <w:t>.</w:t>
            </w:r>
          </w:p>
          <w:p w14:paraId="472DCE4D" w14:textId="504E01F3" w:rsidR="00D93A81" w:rsidRPr="00E40663" w:rsidRDefault="00D93A81" w:rsidP="006F4A54">
            <w:pPr>
              <w:spacing w:before="120" w:after="120"/>
              <w:jc w:val="both"/>
              <w:rPr>
                <w:rFonts w:ascii="Times New Roman" w:hAnsi="Times New Roman" w:cs="Times New Roman"/>
                <w:sz w:val="24"/>
                <w:szCs w:val="24"/>
                <w:lang w:val="ro-RO"/>
              </w:rPr>
            </w:pPr>
            <w:r w:rsidRPr="00E40663">
              <w:rPr>
                <w:rFonts w:ascii="Times New Roman" w:hAnsi="Times New Roman" w:cs="Times New Roman"/>
                <w:sz w:val="24"/>
                <w:szCs w:val="24"/>
                <w:lang w:val="ro-RO"/>
              </w:rPr>
              <w:t xml:space="preserve">Suma totală care se economisește pentru cele două perimetre este de </w:t>
            </w:r>
            <w:r w:rsidRPr="00E40663">
              <w:rPr>
                <w:rFonts w:ascii="Times New Roman" w:hAnsi="Times New Roman" w:cs="Times New Roman"/>
                <w:b/>
                <w:bCs/>
                <w:sz w:val="24"/>
                <w:szCs w:val="24"/>
                <w:lang w:val="ro-RO"/>
              </w:rPr>
              <w:t>14.160.795 lei</w:t>
            </w:r>
            <w:r w:rsidRPr="00E40663">
              <w:rPr>
                <w:rFonts w:ascii="Times New Roman" w:hAnsi="Times New Roman" w:cs="Times New Roman"/>
                <w:sz w:val="24"/>
                <w:szCs w:val="24"/>
                <w:lang w:val="ro-RO"/>
              </w:rPr>
              <w:t>, respectiv:</w:t>
            </w:r>
          </w:p>
          <w:p w14:paraId="41104D0D" w14:textId="4A15F0E8" w:rsidR="008C2BAA" w:rsidRPr="00E40663" w:rsidRDefault="00AE036D" w:rsidP="006F4A54">
            <w:pPr>
              <w:spacing w:before="120" w:after="120"/>
              <w:jc w:val="both"/>
              <w:rPr>
                <w:rFonts w:ascii="Times New Roman" w:hAnsi="Times New Roman" w:cs="Times New Roman"/>
                <w:sz w:val="24"/>
                <w:szCs w:val="24"/>
                <w:lang w:val="ro-RO"/>
              </w:rPr>
            </w:pPr>
            <w:r w:rsidRPr="00E40663">
              <w:rPr>
                <w:rFonts w:ascii="Times New Roman" w:hAnsi="Times New Roman" w:cs="Times New Roman"/>
                <w:sz w:val="24"/>
                <w:szCs w:val="24"/>
                <w:lang w:val="ro-RO"/>
              </w:rPr>
              <w:lastRenderedPageBreak/>
              <w:t xml:space="preserve">                                                                                                                                                    -lei-</w:t>
            </w:r>
          </w:p>
          <w:tbl>
            <w:tblPr>
              <w:tblStyle w:val="TableGrid"/>
              <w:tblW w:w="0" w:type="auto"/>
              <w:tblLook w:val="04A0" w:firstRow="1" w:lastRow="0" w:firstColumn="1" w:lastColumn="0" w:noHBand="0" w:noVBand="1"/>
            </w:tblPr>
            <w:tblGrid>
              <w:gridCol w:w="1490"/>
              <w:gridCol w:w="1444"/>
              <w:gridCol w:w="1643"/>
              <w:gridCol w:w="1481"/>
              <w:gridCol w:w="1491"/>
              <w:gridCol w:w="1576"/>
            </w:tblGrid>
            <w:tr w:rsidR="002074E8" w:rsidRPr="002B2F0D" w14:paraId="64B1E620" w14:textId="77777777" w:rsidTr="006F4A54">
              <w:tc>
                <w:tcPr>
                  <w:tcW w:w="1490" w:type="dxa"/>
                </w:tcPr>
                <w:p w14:paraId="2968B2FB" w14:textId="6C6B5B4D" w:rsidR="002074E8" w:rsidRPr="00E40663" w:rsidRDefault="008C65FA"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Specificație</w:t>
                  </w:r>
                </w:p>
              </w:tc>
              <w:tc>
                <w:tcPr>
                  <w:tcW w:w="1444" w:type="dxa"/>
                </w:tcPr>
                <w:p w14:paraId="152C660E" w14:textId="1A665D72" w:rsidR="00D057C5" w:rsidRPr="00E40663" w:rsidRDefault="00132307"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Cheltuieli totale </w:t>
                  </w:r>
                  <w:r w:rsidR="008C65FA" w:rsidRPr="00E40663">
                    <w:rPr>
                      <w:rFonts w:ascii="Times New Roman" w:eastAsiaTheme="majorEastAsia" w:hAnsi="Times New Roman" w:cs="Times New Roman"/>
                      <w:b/>
                      <w:bCs/>
                      <w:sz w:val="24"/>
                      <w:szCs w:val="24"/>
                      <w:lang w:val="ro-RO" w:eastAsia="en-US"/>
                    </w:rPr>
                    <w:t>închidere</w:t>
                  </w:r>
                </w:p>
              </w:tc>
              <w:tc>
                <w:tcPr>
                  <w:tcW w:w="1643" w:type="dxa"/>
                </w:tcPr>
                <w:p w14:paraId="6353E520" w14:textId="1EC71CA5" w:rsidR="002074E8" w:rsidRPr="00E40663" w:rsidRDefault="008C65FA"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Documentație</w:t>
                  </w:r>
                  <w:r w:rsidR="00132307" w:rsidRPr="00E40663">
                    <w:rPr>
                      <w:rFonts w:ascii="Times New Roman" w:eastAsiaTheme="majorEastAsia" w:hAnsi="Times New Roman" w:cs="Times New Roman"/>
                      <w:b/>
                      <w:bCs/>
                      <w:sz w:val="24"/>
                      <w:szCs w:val="24"/>
                      <w:lang w:val="ro-RO" w:eastAsia="en-US"/>
                    </w:rPr>
                    <w:t xml:space="preserve"> tehnica</w:t>
                  </w:r>
                </w:p>
                <w:p w14:paraId="2489E5C0" w14:textId="77777777" w:rsidR="00D057C5" w:rsidRPr="00E40663" w:rsidRDefault="00D057C5" w:rsidP="006F4A54">
                  <w:pPr>
                    <w:spacing w:before="120" w:after="120"/>
                    <w:jc w:val="both"/>
                    <w:rPr>
                      <w:rFonts w:ascii="Times New Roman" w:eastAsiaTheme="majorEastAsia" w:hAnsi="Times New Roman" w:cs="Times New Roman"/>
                      <w:b/>
                      <w:bCs/>
                      <w:sz w:val="24"/>
                      <w:szCs w:val="24"/>
                      <w:lang w:val="ro-RO" w:eastAsia="en-US"/>
                    </w:rPr>
                  </w:pPr>
                </w:p>
              </w:tc>
              <w:tc>
                <w:tcPr>
                  <w:tcW w:w="1481" w:type="dxa"/>
                </w:tcPr>
                <w:p w14:paraId="593FCA85" w14:textId="14B925FA" w:rsidR="002074E8" w:rsidRPr="00E40663" w:rsidRDefault="008C65FA"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Închidere</w:t>
                  </w:r>
                  <w:r w:rsidR="00132307" w:rsidRPr="00E40663">
                    <w:rPr>
                      <w:rFonts w:ascii="Times New Roman" w:eastAsiaTheme="majorEastAsia" w:hAnsi="Times New Roman" w:cs="Times New Roman"/>
                      <w:b/>
                      <w:bCs/>
                      <w:sz w:val="24"/>
                      <w:szCs w:val="24"/>
                      <w:lang w:val="ro-RO" w:eastAsia="en-US"/>
                    </w:rPr>
                    <w:t xml:space="preserve"> inclusiv ecologizare</w:t>
                  </w:r>
                </w:p>
              </w:tc>
              <w:tc>
                <w:tcPr>
                  <w:tcW w:w="1491" w:type="dxa"/>
                </w:tcPr>
                <w:p w14:paraId="7F492D00" w14:textId="77777777" w:rsidR="002074E8" w:rsidRPr="00E40663" w:rsidRDefault="00D057C5"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Conservare </w:t>
                  </w:r>
                </w:p>
              </w:tc>
              <w:tc>
                <w:tcPr>
                  <w:tcW w:w="1576" w:type="dxa"/>
                </w:tcPr>
                <w:p w14:paraId="35504D4A" w14:textId="7F7601B1" w:rsidR="002074E8" w:rsidRPr="00E40663" w:rsidRDefault="00D057C5"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Monitorizare post </w:t>
                  </w:r>
                  <w:r w:rsidR="008C65FA" w:rsidRPr="00E40663">
                    <w:rPr>
                      <w:rFonts w:ascii="Times New Roman" w:eastAsiaTheme="majorEastAsia" w:hAnsi="Times New Roman" w:cs="Times New Roman"/>
                      <w:b/>
                      <w:bCs/>
                      <w:sz w:val="24"/>
                      <w:szCs w:val="24"/>
                      <w:lang w:val="ro-RO" w:eastAsia="en-US"/>
                    </w:rPr>
                    <w:t>închidere</w:t>
                  </w:r>
                </w:p>
              </w:tc>
            </w:tr>
            <w:tr w:rsidR="002074E8" w:rsidRPr="002B2F0D" w14:paraId="5C7E6E50" w14:textId="77777777" w:rsidTr="006F4A54">
              <w:tc>
                <w:tcPr>
                  <w:tcW w:w="1490" w:type="dxa"/>
                </w:tcPr>
                <w:p w14:paraId="17D63617" w14:textId="77777777" w:rsidR="002074E8" w:rsidRPr="00E40663" w:rsidRDefault="002074E8" w:rsidP="006F4A54">
                  <w:pPr>
                    <w:spacing w:before="120" w:after="120"/>
                    <w:jc w:val="both"/>
                    <w:rPr>
                      <w:rFonts w:ascii="Times New Roman" w:eastAsiaTheme="majorEastAsia" w:hAnsi="Times New Roman" w:cs="Times New Roman"/>
                      <w:b/>
                      <w:bCs/>
                      <w:sz w:val="24"/>
                      <w:szCs w:val="24"/>
                      <w:lang w:val="ro-RO" w:eastAsia="en-US"/>
                    </w:rPr>
                  </w:pPr>
                </w:p>
              </w:tc>
              <w:tc>
                <w:tcPr>
                  <w:tcW w:w="1444" w:type="dxa"/>
                </w:tcPr>
                <w:p w14:paraId="0FE5C961" w14:textId="77777777" w:rsidR="002074E8"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1</w:t>
                  </w:r>
                </w:p>
              </w:tc>
              <w:tc>
                <w:tcPr>
                  <w:tcW w:w="1643" w:type="dxa"/>
                </w:tcPr>
                <w:p w14:paraId="7D6B4A7A" w14:textId="77777777" w:rsidR="002074E8"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2</w:t>
                  </w:r>
                </w:p>
              </w:tc>
              <w:tc>
                <w:tcPr>
                  <w:tcW w:w="1481" w:type="dxa"/>
                </w:tcPr>
                <w:p w14:paraId="18152C06" w14:textId="77777777" w:rsidR="002074E8"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3</w:t>
                  </w:r>
                </w:p>
              </w:tc>
              <w:tc>
                <w:tcPr>
                  <w:tcW w:w="1491" w:type="dxa"/>
                </w:tcPr>
                <w:p w14:paraId="7F46A5D6" w14:textId="77777777" w:rsidR="002074E8"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4</w:t>
                  </w:r>
                </w:p>
              </w:tc>
              <w:tc>
                <w:tcPr>
                  <w:tcW w:w="1576" w:type="dxa"/>
                </w:tcPr>
                <w:p w14:paraId="545503C5" w14:textId="77777777" w:rsidR="002074E8"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5</w:t>
                  </w:r>
                </w:p>
              </w:tc>
            </w:tr>
            <w:tr w:rsidR="005D2ACD" w:rsidRPr="002B2F0D" w14:paraId="2EE0BF7C" w14:textId="77777777" w:rsidTr="006F4A54">
              <w:tc>
                <w:tcPr>
                  <w:tcW w:w="1490" w:type="dxa"/>
                </w:tcPr>
                <w:p w14:paraId="795AD36B"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p>
              </w:tc>
              <w:tc>
                <w:tcPr>
                  <w:tcW w:w="1444" w:type="dxa"/>
                </w:tcPr>
                <w:p w14:paraId="2C6DA057" w14:textId="77777777" w:rsidR="005D2ACD" w:rsidRPr="00E40663" w:rsidRDefault="004F13A4"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(2+3)</w:t>
                  </w:r>
                </w:p>
              </w:tc>
              <w:tc>
                <w:tcPr>
                  <w:tcW w:w="1643" w:type="dxa"/>
                </w:tcPr>
                <w:p w14:paraId="04ACF5D0"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p>
              </w:tc>
              <w:tc>
                <w:tcPr>
                  <w:tcW w:w="1481" w:type="dxa"/>
                </w:tcPr>
                <w:p w14:paraId="7A5ED59F"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p>
              </w:tc>
              <w:tc>
                <w:tcPr>
                  <w:tcW w:w="1491" w:type="dxa"/>
                </w:tcPr>
                <w:p w14:paraId="23362348"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p>
              </w:tc>
              <w:tc>
                <w:tcPr>
                  <w:tcW w:w="1576" w:type="dxa"/>
                </w:tcPr>
                <w:p w14:paraId="6EF457FF"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p>
              </w:tc>
            </w:tr>
            <w:tr w:rsidR="005D2ACD" w:rsidRPr="002B2F0D" w14:paraId="1B0D6DEF" w14:textId="77777777" w:rsidTr="006F4A54">
              <w:tc>
                <w:tcPr>
                  <w:tcW w:w="1490" w:type="dxa"/>
                </w:tcPr>
                <w:p w14:paraId="7F1EB69C"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Mina </w:t>
                  </w:r>
                  <w:proofErr w:type="spellStart"/>
                  <w:r w:rsidRPr="00E40663">
                    <w:rPr>
                      <w:rFonts w:ascii="Times New Roman" w:eastAsiaTheme="majorEastAsia" w:hAnsi="Times New Roman" w:cs="Times New Roman"/>
                      <w:b/>
                      <w:bCs/>
                      <w:sz w:val="24"/>
                      <w:szCs w:val="24"/>
                      <w:lang w:val="ro-RO" w:eastAsia="en-US"/>
                    </w:rPr>
                    <w:t>Catalinu</w:t>
                  </w:r>
                  <w:proofErr w:type="spellEnd"/>
                </w:p>
              </w:tc>
              <w:tc>
                <w:tcPr>
                  <w:tcW w:w="1444" w:type="dxa"/>
                </w:tcPr>
                <w:p w14:paraId="58507236" w14:textId="77777777" w:rsidR="005D2ACD" w:rsidRPr="00E40663" w:rsidRDefault="004F13A4"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3.700.534</w:t>
                  </w:r>
                </w:p>
              </w:tc>
              <w:tc>
                <w:tcPr>
                  <w:tcW w:w="1643" w:type="dxa"/>
                </w:tcPr>
                <w:p w14:paraId="213A5F0E"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186.058</w:t>
                  </w:r>
                </w:p>
              </w:tc>
              <w:tc>
                <w:tcPr>
                  <w:tcW w:w="1481" w:type="dxa"/>
                </w:tcPr>
                <w:p w14:paraId="575D62F8"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3.514.476</w:t>
                  </w:r>
                </w:p>
              </w:tc>
              <w:tc>
                <w:tcPr>
                  <w:tcW w:w="1491" w:type="dxa"/>
                </w:tcPr>
                <w:p w14:paraId="34AA977D"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0</w:t>
                  </w:r>
                </w:p>
              </w:tc>
              <w:tc>
                <w:tcPr>
                  <w:tcW w:w="1576" w:type="dxa"/>
                </w:tcPr>
                <w:p w14:paraId="0F82769F" w14:textId="77777777" w:rsidR="005D2ACD" w:rsidRPr="00E40663" w:rsidRDefault="005D2ACD"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27.545</w:t>
                  </w:r>
                </w:p>
              </w:tc>
            </w:tr>
            <w:tr w:rsidR="005D2ACD" w:rsidRPr="002B2F0D" w14:paraId="218280DC" w14:textId="77777777" w:rsidTr="006F4A54">
              <w:tc>
                <w:tcPr>
                  <w:tcW w:w="1490" w:type="dxa"/>
                </w:tcPr>
                <w:p w14:paraId="6D3F17D4" w14:textId="77777777" w:rsidR="005D2ACD" w:rsidRPr="00E40663" w:rsidRDefault="004F13A4"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Cariera </w:t>
                  </w:r>
                  <w:proofErr w:type="spellStart"/>
                  <w:r w:rsidRPr="00E40663">
                    <w:rPr>
                      <w:rFonts w:ascii="Times New Roman" w:eastAsiaTheme="majorEastAsia" w:hAnsi="Times New Roman" w:cs="Times New Roman"/>
                      <w:b/>
                      <w:bCs/>
                      <w:sz w:val="24"/>
                      <w:szCs w:val="24"/>
                      <w:lang w:val="ro-RO" w:eastAsia="en-US"/>
                    </w:rPr>
                    <w:t>Ungurelasu</w:t>
                  </w:r>
                  <w:proofErr w:type="spellEnd"/>
                </w:p>
              </w:tc>
              <w:tc>
                <w:tcPr>
                  <w:tcW w:w="1444" w:type="dxa"/>
                </w:tcPr>
                <w:p w14:paraId="28820E16" w14:textId="77777777" w:rsidR="005D2ACD" w:rsidRPr="00E40663" w:rsidRDefault="005373FC"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3.089.191</w:t>
                  </w:r>
                </w:p>
              </w:tc>
              <w:tc>
                <w:tcPr>
                  <w:tcW w:w="1643" w:type="dxa"/>
                </w:tcPr>
                <w:p w14:paraId="20633564" w14:textId="77777777" w:rsidR="005D2ACD" w:rsidRPr="00E40663" w:rsidRDefault="004F13A4"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340.346</w:t>
                  </w:r>
                </w:p>
              </w:tc>
              <w:tc>
                <w:tcPr>
                  <w:tcW w:w="1481" w:type="dxa"/>
                </w:tcPr>
                <w:p w14:paraId="1903F72D" w14:textId="77777777" w:rsidR="005D2ACD" w:rsidRPr="00E40663" w:rsidRDefault="00746746"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2.748.845</w:t>
                  </w:r>
                </w:p>
              </w:tc>
              <w:tc>
                <w:tcPr>
                  <w:tcW w:w="1491" w:type="dxa"/>
                </w:tcPr>
                <w:p w14:paraId="482E3584" w14:textId="77777777" w:rsidR="005D2ACD" w:rsidRPr="00E40663" w:rsidRDefault="00746746"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545.323</w:t>
                  </w:r>
                </w:p>
              </w:tc>
              <w:tc>
                <w:tcPr>
                  <w:tcW w:w="1576" w:type="dxa"/>
                </w:tcPr>
                <w:p w14:paraId="2FC7DD53" w14:textId="77777777" w:rsidR="005D2ACD" w:rsidRPr="00E40663" w:rsidRDefault="00746746"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8.477</w:t>
                  </w:r>
                </w:p>
              </w:tc>
            </w:tr>
          </w:tbl>
          <w:p w14:paraId="26964B3E" w14:textId="77777777" w:rsidR="008C2BAA" w:rsidRPr="00E40663" w:rsidRDefault="008C2BAA" w:rsidP="006F4A54">
            <w:pPr>
              <w:spacing w:before="120" w:after="120"/>
              <w:jc w:val="both"/>
              <w:rPr>
                <w:rFonts w:ascii="Times New Roman" w:eastAsiaTheme="majorEastAsia" w:hAnsi="Times New Roman" w:cs="Times New Roman"/>
                <w:b/>
                <w:bCs/>
                <w:sz w:val="24"/>
                <w:szCs w:val="24"/>
                <w:lang w:val="ro-RO" w:eastAsia="en-US"/>
              </w:rPr>
            </w:pPr>
          </w:p>
        </w:tc>
      </w:tr>
      <w:tr w:rsidR="00051F66" w:rsidRPr="00903C3A" w14:paraId="6FC6EAEA" w14:textId="77777777" w:rsidTr="006F4A54">
        <w:tc>
          <w:tcPr>
            <w:tcW w:w="10350" w:type="dxa"/>
          </w:tcPr>
          <w:p w14:paraId="71C6B97D" w14:textId="2FB948A9" w:rsidR="00A43BAE" w:rsidRPr="00E40663" w:rsidRDefault="00C76AAC"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lastRenderedPageBreak/>
              <w:t>Valorile din tabel au fost reactualizate</w:t>
            </w:r>
            <w:r w:rsidR="008B5F80" w:rsidRPr="00E40663">
              <w:rPr>
                <w:rFonts w:ascii="Times New Roman" w:eastAsiaTheme="majorEastAsia" w:hAnsi="Times New Roman" w:cs="Times New Roman"/>
                <w:sz w:val="24"/>
                <w:szCs w:val="24"/>
                <w:lang w:val="ro-RO" w:eastAsia="en-US"/>
              </w:rPr>
              <w:t xml:space="preserve"> la cursul mediu anual lei/euro</w:t>
            </w:r>
            <w:r w:rsidR="00001FFA" w:rsidRPr="00E40663">
              <w:rPr>
                <w:rFonts w:ascii="Times New Roman" w:eastAsiaTheme="majorEastAsia" w:hAnsi="Times New Roman" w:cs="Times New Roman"/>
                <w:sz w:val="24"/>
                <w:szCs w:val="24"/>
                <w:lang w:val="ro-RO" w:eastAsia="en-US"/>
              </w:rPr>
              <w:t xml:space="preserve"> calculat intre </w:t>
            </w:r>
            <w:r w:rsidR="000B2110" w:rsidRPr="00E40663">
              <w:rPr>
                <w:rFonts w:ascii="Times New Roman" w:eastAsiaTheme="majorEastAsia" w:hAnsi="Times New Roman" w:cs="Times New Roman"/>
                <w:sz w:val="24"/>
                <w:szCs w:val="24"/>
                <w:lang w:val="ro-RO" w:eastAsia="en-US"/>
              </w:rPr>
              <w:t xml:space="preserve">valorile existente la data </w:t>
            </w:r>
            <w:r w:rsidR="008C65FA" w:rsidRPr="00E40663">
              <w:rPr>
                <w:rFonts w:ascii="Times New Roman" w:eastAsiaTheme="majorEastAsia" w:hAnsi="Times New Roman" w:cs="Times New Roman"/>
                <w:sz w:val="24"/>
                <w:szCs w:val="24"/>
                <w:lang w:val="ro-RO" w:eastAsia="en-US"/>
              </w:rPr>
              <w:t>publicării</w:t>
            </w:r>
            <w:r w:rsidR="000B2110" w:rsidRPr="00E40663">
              <w:rPr>
                <w:rFonts w:ascii="Times New Roman" w:eastAsiaTheme="majorEastAsia" w:hAnsi="Times New Roman" w:cs="Times New Roman"/>
                <w:sz w:val="24"/>
                <w:szCs w:val="24"/>
                <w:lang w:val="ro-RO" w:eastAsia="en-US"/>
              </w:rPr>
              <w:t xml:space="preserve"> </w:t>
            </w:r>
            <w:r w:rsidR="008C65FA" w:rsidRPr="00E40663">
              <w:rPr>
                <w:rFonts w:ascii="Times New Roman" w:eastAsiaTheme="majorEastAsia" w:hAnsi="Times New Roman" w:cs="Times New Roman"/>
                <w:sz w:val="24"/>
                <w:szCs w:val="24"/>
                <w:lang w:val="ro-RO" w:eastAsia="en-US"/>
              </w:rPr>
              <w:t>hotărârilor</w:t>
            </w:r>
            <w:r w:rsidR="000B2110" w:rsidRPr="00E40663">
              <w:rPr>
                <w:rFonts w:ascii="Times New Roman" w:eastAsiaTheme="majorEastAsia" w:hAnsi="Times New Roman" w:cs="Times New Roman"/>
                <w:sz w:val="24"/>
                <w:szCs w:val="24"/>
                <w:lang w:val="ro-RO" w:eastAsia="en-US"/>
              </w:rPr>
              <w:t xml:space="preserve"> de guvern</w:t>
            </w:r>
            <w:r w:rsidR="00F01BFB" w:rsidRPr="00E40663">
              <w:rPr>
                <w:rFonts w:ascii="Times New Roman" w:eastAsiaTheme="majorEastAsia" w:hAnsi="Times New Roman" w:cs="Times New Roman"/>
                <w:sz w:val="24"/>
                <w:szCs w:val="24"/>
                <w:lang w:val="ro-RO" w:eastAsia="en-US"/>
              </w:rPr>
              <w:t xml:space="preserve"> si </w:t>
            </w:r>
            <w:r w:rsidR="00450B2F" w:rsidRPr="00E40663">
              <w:rPr>
                <w:rFonts w:ascii="Times New Roman" w:eastAsiaTheme="majorEastAsia" w:hAnsi="Times New Roman" w:cs="Times New Roman"/>
                <w:sz w:val="24"/>
                <w:szCs w:val="24"/>
                <w:lang w:val="ro-RO" w:eastAsia="en-US"/>
              </w:rPr>
              <w:t>primele 5 luni aferente anului 202</w:t>
            </w:r>
            <w:r w:rsidR="008C65FA" w:rsidRPr="00E40663">
              <w:rPr>
                <w:rFonts w:ascii="Times New Roman" w:eastAsiaTheme="majorEastAsia" w:hAnsi="Times New Roman" w:cs="Times New Roman"/>
                <w:sz w:val="24"/>
                <w:szCs w:val="24"/>
                <w:lang w:val="ro-RO" w:eastAsia="en-US"/>
              </w:rPr>
              <w:t>5</w:t>
            </w:r>
            <w:r w:rsidR="00450B2F" w:rsidRPr="00E40663">
              <w:rPr>
                <w:rFonts w:ascii="Times New Roman" w:eastAsiaTheme="majorEastAsia" w:hAnsi="Times New Roman" w:cs="Times New Roman"/>
                <w:sz w:val="24"/>
                <w:szCs w:val="24"/>
                <w:lang w:val="ro-RO" w:eastAsia="en-US"/>
              </w:rPr>
              <w:t>, comunicate de BNR</w:t>
            </w:r>
            <w:r w:rsidR="006971DF" w:rsidRPr="00E40663">
              <w:rPr>
                <w:rFonts w:ascii="Times New Roman" w:eastAsiaTheme="majorEastAsia" w:hAnsi="Times New Roman" w:cs="Times New Roman"/>
                <w:sz w:val="24"/>
                <w:szCs w:val="24"/>
                <w:lang w:val="ro-RO" w:eastAsia="en-US"/>
              </w:rPr>
              <w:t>.</w:t>
            </w:r>
          </w:p>
        </w:tc>
      </w:tr>
      <w:tr w:rsidR="00023774" w:rsidRPr="00903C3A" w14:paraId="64834D08" w14:textId="77777777" w:rsidTr="006F4A54">
        <w:tc>
          <w:tcPr>
            <w:tcW w:w="10350" w:type="dxa"/>
          </w:tcPr>
          <w:p w14:paraId="51E9D166" w14:textId="5E2A2BA9" w:rsidR="008E56F7" w:rsidRPr="00E40663" w:rsidRDefault="008E56F7" w:rsidP="006F4A54">
            <w:pPr>
              <w:spacing w:before="120" w:after="120"/>
              <w:jc w:val="center"/>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b/>
                <w:sz w:val="24"/>
                <w:szCs w:val="24"/>
                <w:lang w:val="ro-RO" w:eastAsia="en-US"/>
              </w:rPr>
              <w:t>Secțiunea a 5-a:</w:t>
            </w:r>
          </w:p>
          <w:p w14:paraId="0080B3ED" w14:textId="72254678" w:rsidR="00A43BAE" w:rsidRPr="00E40663" w:rsidRDefault="008E56F7" w:rsidP="006F4A54">
            <w:pPr>
              <w:tabs>
                <w:tab w:val="left" w:pos="567"/>
              </w:tabs>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sz w:val="24"/>
                <w:szCs w:val="24"/>
                <w:lang w:val="ro-RO" w:eastAsia="en-US"/>
              </w:rPr>
              <w:t>Efectele proiectului de act normativ asupra legislației în vigoare</w:t>
            </w:r>
          </w:p>
        </w:tc>
      </w:tr>
      <w:tr w:rsidR="00023774" w:rsidRPr="00903C3A" w14:paraId="4B098FD1" w14:textId="77777777" w:rsidTr="006F4A54">
        <w:tc>
          <w:tcPr>
            <w:tcW w:w="10350" w:type="dxa"/>
          </w:tcPr>
          <w:p w14:paraId="57D615A7" w14:textId="4F8BC7F7" w:rsidR="00023774"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5.1 Măsuri normative necesare pentru aplicarea prevederilor proiectului de act normativ</w:t>
            </w:r>
          </w:p>
        </w:tc>
      </w:tr>
      <w:tr w:rsidR="00023774" w:rsidRPr="00E40663" w14:paraId="06A029DF" w14:textId="77777777" w:rsidTr="006F4A54">
        <w:tc>
          <w:tcPr>
            <w:tcW w:w="10350" w:type="dxa"/>
          </w:tcPr>
          <w:p w14:paraId="48DF3132" w14:textId="77777777" w:rsidR="00611BBF" w:rsidRPr="00E40663" w:rsidRDefault="00611BBF" w:rsidP="006F4A54">
            <w:pPr>
              <w:spacing w:before="120" w:after="120"/>
              <w:jc w:val="both"/>
              <w:rPr>
                <w:rFonts w:ascii="Times New Roman" w:eastAsiaTheme="majorEastAsia" w:hAnsi="Times New Roman" w:cs="Times New Roman"/>
                <w:iCs/>
                <w:sz w:val="24"/>
                <w:szCs w:val="24"/>
                <w:lang w:val="ro-RO" w:eastAsia="en-US"/>
              </w:rPr>
            </w:pPr>
            <w:r w:rsidRPr="00E40663">
              <w:rPr>
                <w:rFonts w:ascii="Times New Roman" w:eastAsiaTheme="majorEastAsia" w:hAnsi="Times New Roman" w:cs="Times New Roman"/>
                <w:iCs/>
                <w:sz w:val="24"/>
                <w:szCs w:val="24"/>
                <w:lang w:val="ro-RO" w:eastAsia="en-US"/>
              </w:rPr>
              <w:t>5.2 Impactul asupra legislației in domeniul achizițiilor publice</w:t>
            </w:r>
          </w:p>
          <w:p w14:paraId="356F3710" w14:textId="77777777" w:rsidR="00023774" w:rsidRPr="00E40663" w:rsidRDefault="00831813" w:rsidP="006F4A54">
            <w:pPr>
              <w:spacing w:before="120" w:after="120"/>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iCs/>
                <w:sz w:val="24"/>
                <w:szCs w:val="24"/>
                <w:lang w:val="ro-RO" w:eastAsia="en-US"/>
              </w:rPr>
              <w:t>Prezentul act normativ nu se referă la acest subiect.</w:t>
            </w:r>
          </w:p>
        </w:tc>
      </w:tr>
      <w:tr w:rsidR="00023774" w:rsidRPr="00E40663" w14:paraId="6DFFAB71" w14:textId="77777777" w:rsidTr="006F4A54">
        <w:tc>
          <w:tcPr>
            <w:tcW w:w="10350" w:type="dxa"/>
          </w:tcPr>
          <w:p w14:paraId="4973074F"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5.3 Conformitatea proiectului de act normativ cu legislația UE (în cazul proiectelor ce transpun sau asigură aplicarea unor prevederi de drept UE). </w:t>
            </w:r>
          </w:p>
          <w:p w14:paraId="5CEC3D7C" w14:textId="77777777" w:rsidR="00023774" w:rsidRPr="00E40663" w:rsidRDefault="00831813"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23774" w:rsidRPr="00E40663" w14:paraId="5BBE2FD3" w14:textId="77777777" w:rsidTr="006F4A54">
        <w:tc>
          <w:tcPr>
            <w:tcW w:w="10350" w:type="dxa"/>
          </w:tcPr>
          <w:p w14:paraId="0460EF63"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5.3.1 Măsuri normative necesare transpunerii directivelor UE</w:t>
            </w:r>
          </w:p>
          <w:p w14:paraId="15CC5AA5" w14:textId="77777777" w:rsidR="00023774" w:rsidRPr="00E40663" w:rsidRDefault="00831813"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23774" w:rsidRPr="00E40663" w14:paraId="64E90D18" w14:textId="77777777" w:rsidTr="006F4A54">
        <w:tc>
          <w:tcPr>
            <w:tcW w:w="10350" w:type="dxa"/>
          </w:tcPr>
          <w:p w14:paraId="2A3DA139"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5.3.2 Măsuri normative necesare aplicării actelor legislative UE  </w:t>
            </w:r>
          </w:p>
          <w:p w14:paraId="195ECCF2" w14:textId="77777777" w:rsidR="00023774" w:rsidRPr="00E40663" w:rsidRDefault="00831813"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23774" w:rsidRPr="00E40663" w14:paraId="7C426B84" w14:textId="77777777" w:rsidTr="006F4A54">
        <w:tc>
          <w:tcPr>
            <w:tcW w:w="10350" w:type="dxa"/>
          </w:tcPr>
          <w:p w14:paraId="5BA83FDD"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5.4 Hotărâri ale Curții de Justiție a Uniunii Europene </w:t>
            </w:r>
          </w:p>
          <w:p w14:paraId="60A6DB92" w14:textId="77777777" w:rsidR="00023774" w:rsidRPr="00E40663" w:rsidRDefault="00831813"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023774" w:rsidRPr="00E40663" w14:paraId="467EFFE8" w14:textId="77777777" w:rsidTr="006F4A54">
        <w:tc>
          <w:tcPr>
            <w:tcW w:w="10350" w:type="dxa"/>
          </w:tcPr>
          <w:p w14:paraId="1B23B458" w14:textId="3834E92E"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5.5 Alte acte normative  </w:t>
            </w:r>
            <w:r w:rsidR="00137008" w:rsidRPr="00E40663">
              <w:rPr>
                <w:rFonts w:ascii="Times New Roman" w:eastAsiaTheme="majorEastAsia" w:hAnsi="Times New Roman" w:cs="Times New Roman"/>
                <w:sz w:val="24"/>
                <w:szCs w:val="24"/>
                <w:lang w:val="ro-RO" w:eastAsia="en-US"/>
              </w:rPr>
              <w:t>și</w:t>
            </w:r>
            <w:r w:rsidRPr="00E40663">
              <w:rPr>
                <w:rFonts w:ascii="Times New Roman" w:eastAsiaTheme="majorEastAsia" w:hAnsi="Times New Roman" w:cs="Times New Roman"/>
                <w:sz w:val="24"/>
                <w:szCs w:val="24"/>
                <w:lang w:val="ro-RO" w:eastAsia="en-US"/>
              </w:rPr>
              <w:t xml:space="preserve">/sau documente internaționale din care decurg angajamente asumate </w:t>
            </w:r>
          </w:p>
          <w:p w14:paraId="43CA6484" w14:textId="77777777" w:rsidR="00023774" w:rsidRPr="00E40663" w:rsidRDefault="00831813"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8E56F7" w:rsidRPr="00E40663" w14:paraId="3E3DEBF0" w14:textId="77777777" w:rsidTr="006F4A54">
        <w:tc>
          <w:tcPr>
            <w:tcW w:w="10350" w:type="dxa"/>
          </w:tcPr>
          <w:p w14:paraId="112C4CF6" w14:textId="77777777" w:rsidR="008E56F7" w:rsidRPr="00E40663" w:rsidRDefault="00611BBF" w:rsidP="006F4A54">
            <w:pPr>
              <w:tabs>
                <w:tab w:val="left" w:pos="567"/>
              </w:tabs>
              <w:spacing w:before="120" w:after="120"/>
              <w:jc w:val="both"/>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sz w:val="24"/>
                <w:szCs w:val="24"/>
                <w:lang w:val="ro-RO" w:eastAsia="en-US"/>
              </w:rPr>
              <w:t>5.6. Alte informații</w:t>
            </w:r>
            <w:r w:rsidRPr="00E40663">
              <w:rPr>
                <w:rFonts w:ascii="Times New Roman" w:eastAsiaTheme="majorEastAsia" w:hAnsi="Times New Roman" w:cs="Times New Roman"/>
                <w:b/>
                <w:sz w:val="24"/>
                <w:szCs w:val="24"/>
                <w:lang w:val="ro-RO" w:eastAsia="en-US"/>
              </w:rPr>
              <w:t xml:space="preserve">  </w:t>
            </w:r>
          </w:p>
          <w:p w14:paraId="6B913F7F" w14:textId="1B0D69F3" w:rsidR="0018269C" w:rsidRPr="00E40663" w:rsidRDefault="00CA3507"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Nu sunt.</w:t>
            </w:r>
          </w:p>
        </w:tc>
      </w:tr>
      <w:tr w:rsidR="008E56F7" w:rsidRPr="00903C3A" w14:paraId="4B77A72C" w14:textId="77777777" w:rsidTr="006F4A54">
        <w:tc>
          <w:tcPr>
            <w:tcW w:w="10350" w:type="dxa"/>
          </w:tcPr>
          <w:p w14:paraId="2650BE2E" w14:textId="6040DE99" w:rsidR="00611BBF" w:rsidRPr="00E40663" w:rsidRDefault="00611BBF" w:rsidP="006F4A54">
            <w:pPr>
              <w:spacing w:before="120" w:after="120"/>
              <w:jc w:val="center"/>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b/>
                <w:sz w:val="24"/>
                <w:szCs w:val="24"/>
                <w:lang w:val="ro-RO" w:eastAsia="en-US"/>
              </w:rPr>
              <w:t>Secțiunea a 6-a:</w:t>
            </w:r>
          </w:p>
          <w:p w14:paraId="51447CE1" w14:textId="4D623315" w:rsidR="00A43BAE" w:rsidRPr="00E40663" w:rsidRDefault="00611BBF" w:rsidP="006F4A54">
            <w:pPr>
              <w:tabs>
                <w:tab w:val="left" w:pos="567"/>
              </w:tabs>
              <w:spacing w:before="120" w:after="120"/>
              <w:jc w:val="center"/>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sz w:val="24"/>
                <w:szCs w:val="24"/>
                <w:lang w:val="ro-RO" w:eastAsia="en-US"/>
              </w:rPr>
              <w:t>Consultările efectuate în vederea elaborării proiectului de act normativ</w:t>
            </w:r>
          </w:p>
        </w:tc>
      </w:tr>
      <w:tr w:rsidR="008E56F7" w:rsidRPr="00E40663" w14:paraId="783405E0" w14:textId="77777777" w:rsidTr="006F4A54">
        <w:tc>
          <w:tcPr>
            <w:tcW w:w="10350" w:type="dxa"/>
          </w:tcPr>
          <w:p w14:paraId="48550EE3" w14:textId="77777777" w:rsidR="00611BBF" w:rsidRPr="00E40663" w:rsidRDefault="00611BBF" w:rsidP="006F4A54">
            <w:pPr>
              <w:spacing w:before="120" w:after="120"/>
              <w:jc w:val="both"/>
              <w:rPr>
                <w:rFonts w:ascii="Times New Roman" w:hAnsi="Times New Roman" w:cs="Times New Roman"/>
                <w:bCs/>
                <w:sz w:val="24"/>
                <w:szCs w:val="24"/>
                <w:lang w:val="ro-RO"/>
              </w:rPr>
            </w:pPr>
            <w:r w:rsidRPr="00E40663">
              <w:rPr>
                <w:rFonts w:ascii="Times New Roman" w:hAnsi="Times New Roman" w:cs="Times New Roman"/>
                <w:bCs/>
                <w:sz w:val="24"/>
                <w:szCs w:val="24"/>
                <w:lang w:val="ro-RO"/>
              </w:rPr>
              <w:t>6.1 Informații privind neaplicarea procedurii de participare la elaborarea actelor normative</w:t>
            </w:r>
          </w:p>
          <w:p w14:paraId="0228F462" w14:textId="5D580A4B" w:rsidR="00A43BAE" w:rsidRPr="00E40663" w:rsidRDefault="00CA3507"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8E56F7" w:rsidRPr="00E40663" w14:paraId="68E553FD" w14:textId="77777777" w:rsidTr="006F4A54">
        <w:tc>
          <w:tcPr>
            <w:tcW w:w="10350" w:type="dxa"/>
          </w:tcPr>
          <w:p w14:paraId="7ED25E01" w14:textId="77777777" w:rsidR="00611BBF" w:rsidRPr="00E40663" w:rsidRDefault="00611BBF" w:rsidP="006F4A54">
            <w:pPr>
              <w:spacing w:before="120" w:after="120"/>
              <w:jc w:val="both"/>
              <w:rPr>
                <w:rFonts w:ascii="Times New Roman" w:hAnsi="Times New Roman" w:cs="Times New Roman"/>
                <w:sz w:val="24"/>
                <w:szCs w:val="24"/>
                <w:lang w:val="ro-RO"/>
              </w:rPr>
            </w:pPr>
            <w:r w:rsidRPr="00E40663">
              <w:rPr>
                <w:rFonts w:ascii="Times New Roman" w:hAnsi="Times New Roman" w:cs="Times New Roman"/>
                <w:bCs/>
                <w:sz w:val="24"/>
                <w:szCs w:val="24"/>
                <w:lang w:val="ro-RO"/>
              </w:rPr>
              <w:lastRenderedPageBreak/>
              <w:t>6.2 Informații privind procesul de consultare cu organizații neguvernamentale, institute de cercetare și alte organisme implicate.</w:t>
            </w:r>
            <w:r w:rsidRPr="00E40663">
              <w:rPr>
                <w:rFonts w:ascii="Times New Roman" w:hAnsi="Times New Roman" w:cs="Times New Roman"/>
                <w:sz w:val="24"/>
                <w:szCs w:val="24"/>
                <w:lang w:val="ro-RO"/>
              </w:rPr>
              <w:t xml:space="preserve"> </w:t>
            </w:r>
          </w:p>
          <w:p w14:paraId="676D5867" w14:textId="11354943" w:rsidR="00A43BAE" w:rsidRPr="00E40663" w:rsidRDefault="00CA3507" w:rsidP="006F4A54">
            <w:pPr>
              <w:tabs>
                <w:tab w:val="left" w:pos="567"/>
              </w:tabs>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Prezentul act normativ nu se referă la acest subiect.</w:t>
            </w:r>
          </w:p>
        </w:tc>
      </w:tr>
      <w:tr w:rsidR="00611BBF" w:rsidRPr="00E40663" w14:paraId="178F6495" w14:textId="77777777" w:rsidTr="006F4A54">
        <w:tc>
          <w:tcPr>
            <w:tcW w:w="10350" w:type="dxa"/>
          </w:tcPr>
          <w:p w14:paraId="1E03EC5D" w14:textId="27D099A9" w:rsidR="00611BBF" w:rsidRPr="00E40663" w:rsidRDefault="00611BBF" w:rsidP="006F4A54">
            <w:pPr>
              <w:spacing w:before="120" w:after="120"/>
              <w:jc w:val="both"/>
              <w:rPr>
                <w:rFonts w:ascii="Times New Roman" w:hAnsi="Times New Roman" w:cs="Times New Roman"/>
                <w:bCs/>
                <w:sz w:val="24"/>
                <w:szCs w:val="24"/>
                <w:lang w:val="ro-RO"/>
              </w:rPr>
            </w:pPr>
            <w:r w:rsidRPr="00E40663">
              <w:rPr>
                <w:rFonts w:ascii="Times New Roman" w:eastAsiaTheme="majorEastAsia" w:hAnsi="Times New Roman" w:cs="Times New Roman"/>
                <w:sz w:val="24"/>
                <w:szCs w:val="24"/>
                <w:lang w:val="ro-RO" w:eastAsia="en-US"/>
              </w:rPr>
              <w:t xml:space="preserve">6.3 Informații despre consultările organizate cu autoritățile administrației publice locale </w:t>
            </w:r>
          </w:p>
        </w:tc>
      </w:tr>
      <w:tr w:rsidR="00611BBF" w:rsidRPr="00E40663" w14:paraId="60C9AE4E" w14:textId="77777777" w:rsidTr="006F4A54">
        <w:tc>
          <w:tcPr>
            <w:tcW w:w="10350" w:type="dxa"/>
          </w:tcPr>
          <w:p w14:paraId="731275D4"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rPr>
            </w:pPr>
            <w:r w:rsidRPr="00E40663">
              <w:rPr>
                <w:rFonts w:ascii="Times New Roman" w:eastAsiaTheme="majorEastAsia" w:hAnsi="Times New Roman" w:cs="Times New Roman"/>
                <w:sz w:val="24"/>
                <w:szCs w:val="24"/>
                <w:lang w:val="ro-RO"/>
              </w:rPr>
              <w:t xml:space="preserve">6.4 Informații privind puncte de vedere/opinii emise de organisme consultative constituite prin acte normative </w:t>
            </w:r>
          </w:p>
          <w:p w14:paraId="263F2DB8" w14:textId="2F5B51A6" w:rsidR="00A43BAE" w:rsidRPr="00E40663" w:rsidRDefault="00CA3507" w:rsidP="006F4A54">
            <w:pPr>
              <w:spacing w:before="120" w:after="120"/>
              <w:jc w:val="both"/>
              <w:rPr>
                <w:rFonts w:ascii="Times New Roman" w:hAnsi="Times New Roman" w:cs="Times New Roman"/>
                <w:bCs/>
                <w:sz w:val="24"/>
                <w:szCs w:val="24"/>
                <w:lang w:val="ro-RO"/>
              </w:rPr>
            </w:pPr>
            <w:r w:rsidRPr="00E40663">
              <w:rPr>
                <w:rFonts w:ascii="Times New Roman" w:hAnsi="Times New Roman" w:cs="Times New Roman"/>
                <w:bCs/>
                <w:sz w:val="24"/>
                <w:szCs w:val="24"/>
                <w:lang w:val="ro-RO"/>
              </w:rPr>
              <w:t>Prezentul act normativ nu se referă la acest subiect.</w:t>
            </w:r>
          </w:p>
        </w:tc>
      </w:tr>
      <w:tr w:rsidR="00611BBF" w:rsidRPr="00E40663" w14:paraId="10C4459B" w14:textId="77777777" w:rsidTr="006F4A54">
        <w:tc>
          <w:tcPr>
            <w:tcW w:w="10350" w:type="dxa"/>
          </w:tcPr>
          <w:p w14:paraId="3430C499"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6.5 Informații privind avizarea de către: </w:t>
            </w:r>
          </w:p>
          <w:p w14:paraId="4DF2E864"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a)Consiliul Legislativ  </w:t>
            </w:r>
          </w:p>
          <w:p w14:paraId="7ACA10C0"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b)Consiliul Suprem de Apărare a Țării </w:t>
            </w:r>
          </w:p>
          <w:p w14:paraId="34F1A071"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c)Consiliul Economic și Social </w:t>
            </w:r>
          </w:p>
          <w:p w14:paraId="34A4F148" w14:textId="77777777"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d)Consiliul Concurenței </w:t>
            </w:r>
          </w:p>
          <w:p w14:paraId="36C93604" w14:textId="77777777" w:rsidR="00611BBF" w:rsidRPr="00E40663" w:rsidRDefault="00611BBF" w:rsidP="006F4A54">
            <w:pPr>
              <w:autoSpaceDE w:val="0"/>
              <w:autoSpaceDN w:val="0"/>
              <w:adjustRightInd w:val="0"/>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e)Curtea de Conturi </w:t>
            </w:r>
          </w:p>
          <w:p w14:paraId="4988662A" w14:textId="254D76BB" w:rsidR="00CA3507" w:rsidRPr="00E40663" w:rsidRDefault="00CA3507" w:rsidP="006F4A54">
            <w:pPr>
              <w:spacing w:before="120" w:after="120"/>
              <w:jc w:val="both"/>
              <w:rPr>
                <w:rFonts w:ascii="Times New Roman" w:hAnsi="Times New Roman" w:cs="Times New Roman"/>
                <w:bCs/>
                <w:sz w:val="24"/>
                <w:szCs w:val="24"/>
                <w:lang w:val="ro-RO"/>
              </w:rPr>
            </w:pPr>
            <w:r w:rsidRPr="00E40663">
              <w:rPr>
                <w:rFonts w:ascii="Times New Roman" w:hAnsi="Times New Roman" w:cs="Times New Roman"/>
                <w:bCs/>
                <w:sz w:val="24"/>
                <w:szCs w:val="24"/>
                <w:lang w:val="ro-RO"/>
              </w:rPr>
              <w:t>Prezentul act normativ este supus avizului Consiliului Legislativ.</w:t>
            </w:r>
          </w:p>
        </w:tc>
      </w:tr>
      <w:tr w:rsidR="00611BBF" w:rsidRPr="00E40663" w14:paraId="6A2A252B" w14:textId="77777777" w:rsidTr="006F4A54">
        <w:tc>
          <w:tcPr>
            <w:tcW w:w="10350" w:type="dxa"/>
          </w:tcPr>
          <w:p w14:paraId="54AF17CF" w14:textId="6BA8469F" w:rsidR="00611BBF" w:rsidRPr="00E40663" w:rsidRDefault="00611BB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6.6 Alte </w:t>
            </w:r>
            <w:r w:rsidR="008C65FA" w:rsidRPr="00E40663">
              <w:rPr>
                <w:rFonts w:ascii="Times New Roman" w:eastAsiaTheme="majorEastAsia" w:hAnsi="Times New Roman" w:cs="Times New Roman"/>
                <w:sz w:val="24"/>
                <w:szCs w:val="24"/>
                <w:lang w:val="ro-RO" w:eastAsia="en-US"/>
              </w:rPr>
              <w:t>informații</w:t>
            </w:r>
          </w:p>
          <w:p w14:paraId="5C314B7F" w14:textId="6CA64898" w:rsidR="0018269C" w:rsidRPr="00E40663" w:rsidRDefault="00CA3507" w:rsidP="006F4A54">
            <w:pPr>
              <w:spacing w:before="120" w:after="120"/>
              <w:jc w:val="both"/>
              <w:rPr>
                <w:rFonts w:ascii="Times New Roman" w:hAnsi="Times New Roman" w:cs="Times New Roman"/>
                <w:bCs/>
                <w:sz w:val="24"/>
                <w:szCs w:val="24"/>
                <w:lang w:val="ro-RO"/>
              </w:rPr>
            </w:pPr>
            <w:r w:rsidRPr="00E40663">
              <w:rPr>
                <w:rFonts w:ascii="Times New Roman" w:hAnsi="Times New Roman" w:cs="Times New Roman"/>
                <w:bCs/>
                <w:sz w:val="24"/>
                <w:szCs w:val="24"/>
                <w:lang w:val="ro-RO"/>
              </w:rPr>
              <w:t>Nu sunt.</w:t>
            </w:r>
          </w:p>
        </w:tc>
      </w:tr>
      <w:tr w:rsidR="00611BBF" w:rsidRPr="00903C3A" w14:paraId="3F25211A" w14:textId="77777777" w:rsidTr="006F4A54">
        <w:trPr>
          <w:trHeight w:val="864"/>
        </w:trPr>
        <w:tc>
          <w:tcPr>
            <w:tcW w:w="10350" w:type="dxa"/>
          </w:tcPr>
          <w:p w14:paraId="672E2D0A" w14:textId="4B4E8C50" w:rsidR="00611BBF" w:rsidRPr="00E40663" w:rsidRDefault="00611BBF" w:rsidP="006F4A54">
            <w:pPr>
              <w:spacing w:before="120" w:after="120"/>
              <w:jc w:val="center"/>
              <w:rPr>
                <w:rFonts w:ascii="Times New Roman" w:eastAsiaTheme="majorEastAsia" w:hAnsi="Times New Roman" w:cs="Times New Roman"/>
                <w:b/>
                <w:sz w:val="24"/>
                <w:szCs w:val="24"/>
                <w:lang w:val="ro-RO"/>
              </w:rPr>
            </w:pPr>
            <w:r w:rsidRPr="00E40663">
              <w:rPr>
                <w:rFonts w:ascii="Times New Roman" w:eastAsiaTheme="majorEastAsia" w:hAnsi="Times New Roman" w:cs="Times New Roman"/>
                <w:b/>
                <w:sz w:val="24"/>
                <w:szCs w:val="24"/>
                <w:lang w:val="ro-RO"/>
              </w:rPr>
              <w:t>Secțiunea a 7-a:</w:t>
            </w:r>
          </w:p>
          <w:p w14:paraId="3F6FCD56" w14:textId="423BEDB3" w:rsidR="00A43BAE" w:rsidRPr="00E40663" w:rsidRDefault="00137008" w:rsidP="006F4A54">
            <w:pPr>
              <w:spacing w:before="120" w:after="120"/>
              <w:jc w:val="center"/>
              <w:rPr>
                <w:rFonts w:ascii="Times New Roman" w:hAnsi="Times New Roman" w:cs="Times New Roman"/>
                <w:bCs/>
                <w:sz w:val="24"/>
                <w:szCs w:val="24"/>
                <w:lang w:val="ro-RO"/>
              </w:rPr>
            </w:pPr>
            <w:r w:rsidRPr="00E40663">
              <w:rPr>
                <w:rFonts w:ascii="Times New Roman" w:eastAsiaTheme="majorEastAsia" w:hAnsi="Times New Roman" w:cs="Times New Roman"/>
                <w:b/>
                <w:sz w:val="24"/>
                <w:szCs w:val="24"/>
                <w:lang w:val="ro-RO" w:eastAsia="en-US"/>
              </w:rPr>
              <w:t>Activități</w:t>
            </w:r>
            <w:r w:rsidR="00611BBF" w:rsidRPr="00E40663">
              <w:rPr>
                <w:rFonts w:ascii="Times New Roman" w:eastAsiaTheme="majorEastAsia" w:hAnsi="Times New Roman" w:cs="Times New Roman"/>
                <w:b/>
                <w:sz w:val="24"/>
                <w:szCs w:val="24"/>
                <w:lang w:val="ro-RO" w:eastAsia="en-US"/>
              </w:rPr>
              <w:t xml:space="preserve"> de informare publică privind elaborarea </w:t>
            </w:r>
            <w:r w:rsidRPr="00E40663">
              <w:rPr>
                <w:rFonts w:ascii="Times New Roman" w:eastAsiaTheme="majorEastAsia" w:hAnsi="Times New Roman" w:cs="Times New Roman"/>
                <w:b/>
                <w:sz w:val="24"/>
                <w:szCs w:val="24"/>
                <w:lang w:val="ro-RO" w:eastAsia="en-US"/>
              </w:rPr>
              <w:t>și</w:t>
            </w:r>
            <w:r w:rsidR="00611BBF" w:rsidRPr="00E40663">
              <w:rPr>
                <w:rFonts w:ascii="Times New Roman" w:eastAsiaTheme="majorEastAsia" w:hAnsi="Times New Roman" w:cs="Times New Roman"/>
                <w:b/>
                <w:sz w:val="24"/>
                <w:szCs w:val="24"/>
                <w:lang w:val="ro-RO" w:eastAsia="en-US"/>
              </w:rPr>
              <w:t xml:space="preserve"> implementarea proiectului de act normativ</w:t>
            </w:r>
          </w:p>
        </w:tc>
      </w:tr>
      <w:tr w:rsidR="00BB619F" w:rsidRPr="00903C3A" w14:paraId="17FEF93D" w14:textId="77777777" w:rsidTr="006F4A54">
        <w:tc>
          <w:tcPr>
            <w:tcW w:w="10350" w:type="dxa"/>
          </w:tcPr>
          <w:p w14:paraId="0E73B984" w14:textId="77777777" w:rsidR="00BB619F" w:rsidRPr="00E40663" w:rsidRDefault="00BB619F" w:rsidP="006F4A54">
            <w:pPr>
              <w:pStyle w:val="ListParagraph"/>
              <w:numPr>
                <w:ilvl w:val="1"/>
                <w:numId w:val="17"/>
              </w:numPr>
              <w:autoSpaceDE w:val="0"/>
              <w:autoSpaceDN w:val="0"/>
              <w:adjustRightInd w:val="0"/>
              <w:spacing w:before="120" w:after="120"/>
              <w:contextualSpacing w:val="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Informarea societății civile cu privire la elaborarea proiectului de act normativ</w:t>
            </w:r>
          </w:p>
          <w:p w14:paraId="08A0B2FB" w14:textId="06BF8CE3" w:rsidR="00BB619F" w:rsidRPr="00E40663" w:rsidRDefault="00CA3507" w:rsidP="006F4A54">
            <w:pPr>
              <w:spacing w:before="120" w:after="120"/>
              <w:jc w:val="both"/>
              <w:rPr>
                <w:rFonts w:ascii="Times New Roman" w:eastAsiaTheme="majorEastAsia" w:hAnsi="Times New Roman" w:cs="Times New Roman"/>
                <w:bCs/>
                <w:sz w:val="24"/>
                <w:szCs w:val="24"/>
                <w:lang w:val="ro-RO"/>
              </w:rPr>
            </w:pPr>
            <w:r w:rsidRPr="00E40663">
              <w:rPr>
                <w:rFonts w:ascii="Times New Roman" w:eastAsiaTheme="majorEastAsia" w:hAnsi="Times New Roman" w:cs="Times New Roman"/>
                <w:bCs/>
                <w:sz w:val="24"/>
                <w:szCs w:val="24"/>
                <w:lang w:val="ro-RO"/>
              </w:rPr>
              <w:t xml:space="preserve">Prezentul act normativ se supune dezbaterii publice, prin </w:t>
            </w:r>
            <w:r w:rsidR="00137008" w:rsidRPr="00E40663">
              <w:rPr>
                <w:rFonts w:ascii="Times New Roman" w:eastAsiaTheme="majorEastAsia" w:hAnsi="Times New Roman" w:cs="Times New Roman"/>
                <w:bCs/>
                <w:sz w:val="24"/>
                <w:szCs w:val="24"/>
                <w:lang w:val="ro-RO"/>
              </w:rPr>
              <w:t>afișare</w:t>
            </w:r>
            <w:r w:rsidRPr="00E40663">
              <w:rPr>
                <w:rFonts w:ascii="Times New Roman" w:eastAsiaTheme="majorEastAsia" w:hAnsi="Times New Roman" w:cs="Times New Roman"/>
                <w:bCs/>
                <w:sz w:val="24"/>
                <w:szCs w:val="24"/>
                <w:lang w:val="ro-RO"/>
              </w:rPr>
              <w:t xml:space="preserve"> pe pagina de Internet a </w:t>
            </w:r>
            <w:r w:rsidR="00D025F0" w:rsidRPr="00E40663">
              <w:rPr>
                <w:rFonts w:ascii="Times New Roman" w:eastAsiaTheme="majorEastAsia" w:hAnsi="Times New Roman" w:cs="Times New Roman"/>
                <w:bCs/>
                <w:sz w:val="24"/>
                <w:szCs w:val="24"/>
                <w:lang w:val="ro-RO"/>
              </w:rPr>
              <w:t>Ministerului Economiei, Digitalizării, Antreprenoriatului și Turismului</w:t>
            </w:r>
            <w:r w:rsidR="00A6612E" w:rsidRPr="00E40663">
              <w:rPr>
                <w:rFonts w:ascii="Times New Roman" w:eastAsiaTheme="majorEastAsia" w:hAnsi="Times New Roman" w:cs="Times New Roman"/>
                <w:bCs/>
                <w:sz w:val="24"/>
                <w:szCs w:val="24"/>
                <w:lang w:val="ro-RO"/>
              </w:rPr>
              <w:t>.</w:t>
            </w:r>
          </w:p>
        </w:tc>
      </w:tr>
      <w:tr w:rsidR="00BB619F" w:rsidRPr="00E40663" w14:paraId="489D350C" w14:textId="77777777" w:rsidTr="006F4A54">
        <w:tc>
          <w:tcPr>
            <w:tcW w:w="10350" w:type="dxa"/>
          </w:tcPr>
          <w:p w14:paraId="2BAC5986" w14:textId="456472FD" w:rsidR="00BB619F" w:rsidRPr="00E40663" w:rsidRDefault="00BB619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 xml:space="preserve">7.2 Informarea societății civile cu privire la eventualul impact asupra mediului în urma implementării proiectului de act normativ, precum </w:t>
            </w:r>
            <w:r w:rsidR="00137008" w:rsidRPr="00E40663">
              <w:rPr>
                <w:rFonts w:ascii="Times New Roman" w:eastAsiaTheme="majorEastAsia" w:hAnsi="Times New Roman" w:cs="Times New Roman"/>
                <w:sz w:val="24"/>
                <w:szCs w:val="24"/>
                <w:lang w:val="ro-RO" w:eastAsia="en-US"/>
              </w:rPr>
              <w:t>și</w:t>
            </w:r>
            <w:r w:rsidRPr="00E40663">
              <w:rPr>
                <w:rFonts w:ascii="Times New Roman" w:eastAsiaTheme="majorEastAsia" w:hAnsi="Times New Roman" w:cs="Times New Roman"/>
                <w:sz w:val="24"/>
                <w:szCs w:val="24"/>
                <w:lang w:val="ro-RO" w:eastAsia="en-US"/>
              </w:rPr>
              <w:t xml:space="preserve"> efectele asupra sănătății și securității cetățenilor sau diversității biologice.</w:t>
            </w:r>
          </w:p>
          <w:p w14:paraId="0DF344A5" w14:textId="77777777" w:rsidR="00BB619F" w:rsidRPr="00E40663" w:rsidRDefault="00CA3507" w:rsidP="006F4A54">
            <w:pPr>
              <w:spacing w:before="120" w:after="120"/>
              <w:jc w:val="both"/>
              <w:rPr>
                <w:rFonts w:ascii="Times New Roman" w:eastAsiaTheme="majorEastAsia" w:hAnsi="Times New Roman" w:cs="Times New Roman"/>
                <w:bCs/>
                <w:sz w:val="24"/>
                <w:szCs w:val="24"/>
                <w:lang w:val="ro-RO"/>
              </w:rPr>
            </w:pPr>
            <w:r w:rsidRPr="00E40663">
              <w:rPr>
                <w:rFonts w:ascii="Times New Roman" w:eastAsiaTheme="majorEastAsia" w:hAnsi="Times New Roman" w:cs="Times New Roman"/>
                <w:bCs/>
                <w:sz w:val="24"/>
                <w:szCs w:val="24"/>
                <w:lang w:val="ro-RO"/>
              </w:rPr>
              <w:t>Nu este cazul.</w:t>
            </w:r>
          </w:p>
        </w:tc>
      </w:tr>
      <w:tr w:rsidR="00BB619F" w:rsidRPr="00E40663" w14:paraId="72A58FD0" w14:textId="77777777" w:rsidTr="006F4A54">
        <w:tc>
          <w:tcPr>
            <w:tcW w:w="10350" w:type="dxa"/>
          </w:tcPr>
          <w:p w14:paraId="5208F5A9" w14:textId="77777777" w:rsidR="00CA3507" w:rsidRPr="00E40663" w:rsidRDefault="00BB619F" w:rsidP="006F4A54">
            <w:pPr>
              <w:spacing w:before="120" w:after="120"/>
              <w:jc w:val="both"/>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sz w:val="24"/>
                <w:szCs w:val="24"/>
                <w:lang w:val="ro-RO" w:eastAsia="en-US"/>
              </w:rPr>
              <w:t>7.3 Alte informații</w:t>
            </w:r>
            <w:r w:rsidRPr="00E40663">
              <w:rPr>
                <w:rFonts w:ascii="Times New Roman" w:eastAsiaTheme="majorEastAsia" w:hAnsi="Times New Roman" w:cs="Times New Roman"/>
                <w:b/>
                <w:sz w:val="24"/>
                <w:szCs w:val="24"/>
                <w:lang w:val="ro-RO" w:eastAsia="en-US"/>
              </w:rPr>
              <w:t xml:space="preserve">      </w:t>
            </w:r>
          </w:p>
          <w:p w14:paraId="3CC5283D" w14:textId="101AB6E2" w:rsidR="0018269C" w:rsidRPr="00E40663" w:rsidRDefault="00CA3507" w:rsidP="006F4A54">
            <w:pPr>
              <w:spacing w:before="120" w:after="120"/>
              <w:jc w:val="both"/>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sz w:val="24"/>
                <w:szCs w:val="24"/>
                <w:lang w:val="ro-RO" w:eastAsia="en-US"/>
              </w:rPr>
              <w:t>Nu sunt.</w:t>
            </w:r>
          </w:p>
        </w:tc>
      </w:tr>
      <w:tr w:rsidR="00BB619F" w:rsidRPr="00903C3A" w14:paraId="32A18FF4" w14:textId="77777777" w:rsidTr="006F4A54">
        <w:trPr>
          <w:trHeight w:val="586"/>
        </w:trPr>
        <w:tc>
          <w:tcPr>
            <w:tcW w:w="10350" w:type="dxa"/>
          </w:tcPr>
          <w:p w14:paraId="1DEC0BC3" w14:textId="77777777" w:rsidR="006F4A54" w:rsidRDefault="006F4A54" w:rsidP="006F4A54">
            <w:pPr>
              <w:spacing w:before="120" w:after="120"/>
              <w:jc w:val="center"/>
              <w:rPr>
                <w:rFonts w:ascii="Times New Roman" w:eastAsiaTheme="majorEastAsia" w:hAnsi="Times New Roman" w:cs="Times New Roman"/>
                <w:b/>
                <w:sz w:val="24"/>
                <w:szCs w:val="24"/>
                <w:lang w:val="ro-RO"/>
              </w:rPr>
            </w:pPr>
          </w:p>
          <w:p w14:paraId="75C0F29F" w14:textId="34BEFC91" w:rsidR="00BB619F" w:rsidRPr="00E40663" w:rsidRDefault="00BB619F" w:rsidP="006F4A54">
            <w:pPr>
              <w:spacing w:before="120" w:after="120"/>
              <w:jc w:val="center"/>
              <w:rPr>
                <w:rFonts w:ascii="Times New Roman" w:eastAsiaTheme="majorEastAsia" w:hAnsi="Times New Roman" w:cs="Times New Roman"/>
                <w:b/>
                <w:sz w:val="24"/>
                <w:szCs w:val="24"/>
                <w:lang w:val="ro-RO"/>
              </w:rPr>
            </w:pPr>
            <w:r w:rsidRPr="00E40663">
              <w:rPr>
                <w:rFonts w:ascii="Times New Roman" w:eastAsiaTheme="majorEastAsia" w:hAnsi="Times New Roman" w:cs="Times New Roman"/>
                <w:b/>
                <w:sz w:val="24"/>
                <w:szCs w:val="24"/>
                <w:lang w:val="ro-RO"/>
              </w:rPr>
              <w:t>Secțiunea a 8-a:</w:t>
            </w:r>
          </w:p>
          <w:p w14:paraId="64F553ED" w14:textId="6BE6C12F" w:rsidR="00A43BAE" w:rsidRPr="00E40663" w:rsidRDefault="00BB619F" w:rsidP="006F4A54">
            <w:pPr>
              <w:spacing w:before="120" w:after="120"/>
              <w:jc w:val="center"/>
              <w:rPr>
                <w:rFonts w:ascii="Times New Roman" w:eastAsiaTheme="majorEastAsia" w:hAnsi="Times New Roman" w:cs="Times New Roman"/>
                <w:bCs/>
                <w:sz w:val="24"/>
                <w:szCs w:val="24"/>
                <w:lang w:val="ro-RO"/>
              </w:rPr>
            </w:pPr>
            <w:r w:rsidRPr="00E40663">
              <w:rPr>
                <w:rFonts w:ascii="Times New Roman" w:eastAsiaTheme="majorEastAsia" w:hAnsi="Times New Roman" w:cs="Times New Roman"/>
                <w:b/>
                <w:sz w:val="24"/>
                <w:szCs w:val="24"/>
                <w:lang w:val="ro-RO" w:eastAsia="en-US"/>
              </w:rPr>
              <w:t>Măsuri privind implementarea, monitorizarea și evaluarea</w:t>
            </w:r>
            <w:r w:rsidRPr="00E40663">
              <w:rPr>
                <w:rFonts w:ascii="Times New Roman" w:hAnsi="Times New Roman" w:cs="Times New Roman"/>
                <w:b/>
                <w:sz w:val="24"/>
                <w:szCs w:val="24"/>
                <w:lang w:val="ro-RO"/>
              </w:rPr>
              <w:t xml:space="preserve"> </w:t>
            </w:r>
            <w:r w:rsidRPr="00E40663">
              <w:rPr>
                <w:rFonts w:ascii="Times New Roman" w:eastAsiaTheme="majorEastAsia" w:hAnsi="Times New Roman" w:cs="Times New Roman"/>
                <w:b/>
                <w:sz w:val="24"/>
                <w:szCs w:val="24"/>
                <w:lang w:val="ro-RO" w:eastAsia="en-US"/>
              </w:rPr>
              <w:t>proiectului de act normativ</w:t>
            </w:r>
          </w:p>
        </w:tc>
      </w:tr>
      <w:tr w:rsidR="00BB619F" w:rsidRPr="00E40663" w14:paraId="39D26218" w14:textId="77777777" w:rsidTr="006F4A54">
        <w:tc>
          <w:tcPr>
            <w:tcW w:w="10350" w:type="dxa"/>
          </w:tcPr>
          <w:p w14:paraId="7B1C49D8" w14:textId="77777777" w:rsidR="00BB619F" w:rsidRPr="00E40663" w:rsidRDefault="00BB619F" w:rsidP="006F4A54">
            <w:pPr>
              <w:spacing w:before="120" w:after="120"/>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t>8.1 Măsurile de punere în aplicare a proiectului de act normativ</w:t>
            </w:r>
            <w:r w:rsidRPr="00E40663">
              <w:rPr>
                <w:rFonts w:ascii="Times New Roman" w:hAnsi="Times New Roman" w:cs="Times New Roman"/>
                <w:sz w:val="24"/>
                <w:szCs w:val="24"/>
                <w:lang w:val="ro-RO"/>
              </w:rPr>
              <w:t xml:space="preserve"> </w:t>
            </w:r>
          </w:p>
          <w:p w14:paraId="0749EB3E" w14:textId="77777777" w:rsidR="00BB619F" w:rsidRPr="00E40663" w:rsidRDefault="00CB6E6B" w:rsidP="006F4A54">
            <w:pPr>
              <w:spacing w:before="120" w:after="120"/>
              <w:jc w:val="both"/>
              <w:rPr>
                <w:rFonts w:ascii="Times New Roman" w:eastAsiaTheme="majorEastAsia" w:hAnsi="Times New Roman" w:cs="Times New Roman"/>
                <w:bCs/>
                <w:sz w:val="24"/>
                <w:szCs w:val="24"/>
                <w:lang w:val="ro-RO"/>
              </w:rPr>
            </w:pPr>
            <w:r w:rsidRPr="00E40663">
              <w:rPr>
                <w:rFonts w:ascii="Times New Roman" w:eastAsiaTheme="majorEastAsia" w:hAnsi="Times New Roman" w:cs="Times New Roman"/>
                <w:bCs/>
                <w:sz w:val="24"/>
                <w:szCs w:val="24"/>
                <w:lang w:val="ro-RO"/>
              </w:rPr>
              <w:t>Prezentul act normativ nu se referă la acest subiect.</w:t>
            </w:r>
          </w:p>
        </w:tc>
      </w:tr>
      <w:tr w:rsidR="00BB619F" w:rsidRPr="00E40663" w14:paraId="57365A63" w14:textId="77777777" w:rsidTr="006F4A54">
        <w:tc>
          <w:tcPr>
            <w:tcW w:w="10350" w:type="dxa"/>
          </w:tcPr>
          <w:p w14:paraId="570A11E0" w14:textId="77777777" w:rsidR="00CB6E6B" w:rsidRPr="00E40663" w:rsidRDefault="00BB619F" w:rsidP="006F4A54">
            <w:pPr>
              <w:spacing w:before="120" w:after="120"/>
              <w:jc w:val="both"/>
              <w:rPr>
                <w:rFonts w:ascii="Times New Roman" w:eastAsiaTheme="majorEastAsia" w:hAnsi="Times New Roman" w:cs="Times New Roman"/>
                <w:b/>
                <w:sz w:val="24"/>
                <w:szCs w:val="24"/>
                <w:lang w:val="ro-RO" w:eastAsia="en-US"/>
              </w:rPr>
            </w:pPr>
            <w:r w:rsidRPr="00E40663">
              <w:rPr>
                <w:rFonts w:ascii="Times New Roman" w:eastAsiaTheme="majorEastAsia" w:hAnsi="Times New Roman" w:cs="Times New Roman"/>
                <w:sz w:val="24"/>
                <w:szCs w:val="24"/>
                <w:lang w:val="ro-RO" w:eastAsia="en-US"/>
              </w:rPr>
              <w:t>8.2 Alte informații</w:t>
            </w:r>
            <w:r w:rsidRPr="00E40663">
              <w:rPr>
                <w:rFonts w:ascii="Times New Roman" w:eastAsiaTheme="majorEastAsia" w:hAnsi="Times New Roman" w:cs="Times New Roman"/>
                <w:b/>
                <w:sz w:val="24"/>
                <w:szCs w:val="24"/>
                <w:lang w:val="ro-RO" w:eastAsia="en-US"/>
              </w:rPr>
              <w:t xml:space="preserve">       </w:t>
            </w:r>
          </w:p>
          <w:p w14:paraId="385CB271" w14:textId="0E8E140D" w:rsidR="0018269C" w:rsidRPr="00E40663" w:rsidRDefault="00CB6E6B" w:rsidP="006F4A54">
            <w:pPr>
              <w:spacing w:before="120" w:after="120"/>
              <w:jc w:val="both"/>
              <w:rPr>
                <w:rFonts w:ascii="Times New Roman" w:eastAsiaTheme="majorEastAsia" w:hAnsi="Times New Roman" w:cs="Times New Roman"/>
                <w:bCs/>
                <w:sz w:val="24"/>
                <w:szCs w:val="24"/>
                <w:lang w:val="ro-RO"/>
              </w:rPr>
            </w:pPr>
            <w:r w:rsidRPr="00E40663">
              <w:rPr>
                <w:rFonts w:ascii="Times New Roman" w:eastAsiaTheme="majorEastAsia" w:hAnsi="Times New Roman" w:cs="Times New Roman"/>
                <w:bCs/>
                <w:sz w:val="24"/>
                <w:szCs w:val="24"/>
                <w:lang w:val="ro-RO" w:eastAsia="en-US"/>
              </w:rPr>
              <w:t>Nu sunt.</w:t>
            </w:r>
          </w:p>
        </w:tc>
      </w:tr>
    </w:tbl>
    <w:p w14:paraId="00886F39" w14:textId="77777777" w:rsidR="00E5565D" w:rsidRPr="00E40663" w:rsidRDefault="00F105DE" w:rsidP="006F4A54">
      <w:pPr>
        <w:spacing w:before="120" w:after="120" w:line="240" w:lineRule="auto"/>
        <w:jc w:val="both"/>
        <w:rPr>
          <w:rFonts w:ascii="Times New Roman" w:eastAsiaTheme="majorEastAsia" w:hAnsi="Times New Roman" w:cs="Times New Roman"/>
          <w:b/>
          <w:bCs/>
          <w:sz w:val="24"/>
          <w:szCs w:val="24"/>
          <w:lang w:val="ro-RO" w:eastAsia="en-US"/>
        </w:rPr>
      </w:pPr>
      <w:r w:rsidRPr="00E40663">
        <w:rPr>
          <w:rFonts w:ascii="Times New Roman" w:eastAsiaTheme="majorEastAsia" w:hAnsi="Times New Roman" w:cs="Times New Roman"/>
          <w:b/>
          <w:bCs/>
          <w:sz w:val="24"/>
          <w:szCs w:val="24"/>
          <w:lang w:val="ro-RO" w:eastAsia="en-US"/>
        </w:rPr>
        <w:t xml:space="preserve">                </w:t>
      </w:r>
    </w:p>
    <w:p w14:paraId="5291D3A4" w14:textId="16BEA5E8" w:rsidR="00B80ED4" w:rsidRPr="00E40663" w:rsidRDefault="00742C88" w:rsidP="006F4A54">
      <w:pPr>
        <w:spacing w:before="120" w:after="120" w:line="240" w:lineRule="auto"/>
        <w:jc w:val="both"/>
        <w:rPr>
          <w:rFonts w:ascii="Times New Roman" w:eastAsiaTheme="majorEastAsia" w:hAnsi="Times New Roman" w:cs="Times New Roman"/>
          <w:sz w:val="24"/>
          <w:szCs w:val="24"/>
          <w:lang w:val="ro-RO" w:eastAsia="en-US"/>
        </w:rPr>
      </w:pPr>
      <w:r w:rsidRPr="00E40663">
        <w:rPr>
          <w:rFonts w:ascii="Times New Roman" w:eastAsiaTheme="majorEastAsia" w:hAnsi="Times New Roman" w:cs="Times New Roman"/>
          <w:sz w:val="24"/>
          <w:szCs w:val="24"/>
          <w:lang w:val="ro-RO" w:eastAsia="en-US"/>
        </w:rPr>
        <w:lastRenderedPageBreak/>
        <w:t>Față de cele prezentate, a fost promovată prezenta Hotărâre a Guvernului</w:t>
      </w:r>
      <w:r w:rsidRPr="00E40663">
        <w:rPr>
          <w:rFonts w:ascii="Times New Roman" w:eastAsiaTheme="majorEastAsia" w:hAnsi="Times New Roman" w:cs="Times New Roman"/>
          <w:bCs/>
          <w:sz w:val="24"/>
          <w:szCs w:val="24"/>
          <w:lang w:val="ro-RO" w:eastAsia="en-US"/>
        </w:rPr>
        <w:t xml:space="preserve"> privind </w:t>
      </w:r>
      <w:r w:rsidR="00E5565D" w:rsidRPr="00E40663">
        <w:rPr>
          <w:rFonts w:ascii="Times New Roman" w:eastAsiaTheme="majorEastAsia" w:hAnsi="Times New Roman" w:cs="Times New Roman"/>
          <w:bCs/>
          <w:sz w:val="24"/>
          <w:szCs w:val="24"/>
          <w:lang w:val="ro-RO" w:eastAsia="en-US"/>
        </w:rPr>
        <w:t>modificarea unor acte normative în domeniul închiderii unor mine și cariere</w:t>
      </w:r>
      <w:r w:rsidRPr="00E40663">
        <w:rPr>
          <w:rFonts w:ascii="Times New Roman" w:eastAsiaTheme="majorEastAsia" w:hAnsi="Times New Roman" w:cs="Times New Roman"/>
          <w:bCs/>
          <w:sz w:val="24"/>
          <w:szCs w:val="24"/>
          <w:lang w:val="ro-RO" w:eastAsia="en-US"/>
        </w:rPr>
        <w:t>.</w:t>
      </w:r>
    </w:p>
    <w:tbl>
      <w:tblPr>
        <w:tblpPr w:leftFromText="180" w:rightFromText="180" w:vertAnchor="text" w:horzAnchor="margin" w:tblpX="-152" w:tblpY="226"/>
        <w:tblW w:w="9540" w:type="dxa"/>
        <w:tblLook w:val="04A0" w:firstRow="1" w:lastRow="0" w:firstColumn="1" w:lastColumn="0" w:noHBand="0" w:noVBand="1"/>
      </w:tblPr>
      <w:tblGrid>
        <w:gridCol w:w="4673"/>
        <w:gridCol w:w="4867"/>
      </w:tblGrid>
      <w:tr w:rsidR="0067052F" w:rsidRPr="00903C3A" w14:paraId="7F188565" w14:textId="77777777" w:rsidTr="007D0BD3">
        <w:trPr>
          <w:trHeight w:val="1838"/>
        </w:trPr>
        <w:tc>
          <w:tcPr>
            <w:tcW w:w="4673" w:type="dxa"/>
          </w:tcPr>
          <w:p w14:paraId="6799E89E" w14:textId="6A541489" w:rsidR="0035627E" w:rsidRPr="00E40663" w:rsidRDefault="008770A7" w:rsidP="006F4A54">
            <w:pPr>
              <w:autoSpaceDE w:val="0"/>
              <w:autoSpaceDN w:val="0"/>
              <w:adjustRightInd w:val="0"/>
              <w:spacing w:before="120" w:after="120" w:line="240" w:lineRule="auto"/>
              <w:jc w:val="center"/>
              <w:rPr>
                <w:rFonts w:ascii="Times New Roman" w:hAnsi="Times New Roman" w:cs="Times New Roman"/>
                <w:b/>
                <w:color w:val="000000" w:themeColor="text1"/>
                <w:sz w:val="24"/>
                <w:szCs w:val="24"/>
                <w:lang w:val="ro-RO" w:eastAsia="ro-RO"/>
              </w:rPr>
            </w:pPr>
            <w:r w:rsidRPr="00E40663">
              <w:rPr>
                <w:rFonts w:ascii="Times New Roman" w:hAnsi="Times New Roman" w:cs="Times New Roman"/>
                <w:b/>
                <w:color w:val="000000" w:themeColor="text1"/>
                <w:sz w:val="24"/>
                <w:szCs w:val="24"/>
                <w:lang w:val="ro-RO" w:eastAsia="ro-RO"/>
              </w:rPr>
              <w:t>MINISTRU</w:t>
            </w:r>
            <w:r w:rsidR="0035627E" w:rsidRPr="00E40663">
              <w:rPr>
                <w:rFonts w:ascii="Times New Roman" w:hAnsi="Times New Roman" w:cs="Times New Roman"/>
                <w:b/>
                <w:color w:val="000000" w:themeColor="text1"/>
                <w:sz w:val="24"/>
                <w:szCs w:val="24"/>
                <w:lang w:val="ro-RO" w:eastAsia="ro-RO"/>
              </w:rPr>
              <w:t>L ECONOMIEI,</w:t>
            </w:r>
            <w:r w:rsidR="0035627E" w:rsidRPr="00E40663">
              <w:rPr>
                <w:rFonts w:ascii="Times New Roman" w:hAnsi="Times New Roman" w:cs="Times New Roman"/>
                <w:sz w:val="24"/>
                <w:szCs w:val="24"/>
                <w:lang w:val="ro-RO"/>
              </w:rPr>
              <w:t xml:space="preserve"> </w:t>
            </w:r>
            <w:r w:rsidR="0035627E" w:rsidRPr="00E40663">
              <w:rPr>
                <w:rFonts w:ascii="Times New Roman" w:hAnsi="Times New Roman" w:cs="Times New Roman"/>
                <w:b/>
                <w:color w:val="000000" w:themeColor="text1"/>
                <w:sz w:val="24"/>
                <w:szCs w:val="24"/>
                <w:lang w:val="ro-RO" w:eastAsia="ro-RO"/>
              </w:rPr>
              <w:t xml:space="preserve"> DIGITALIZĂRII, ANTREPRENORIATULUI ȘI TURISMULUI</w:t>
            </w:r>
          </w:p>
          <w:p w14:paraId="76E561E7" w14:textId="712C3814" w:rsidR="0035627E" w:rsidRPr="00E40663" w:rsidRDefault="008770A7" w:rsidP="006F4A54">
            <w:pPr>
              <w:autoSpaceDE w:val="0"/>
              <w:autoSpaceDN w:val="0"/>
              <w:adjustRightInd w:val="0"/>
              <w:spacing w:before="120" w:after="120" w:line="240" w:lineRule="auto"/>
              <w:jc w:val="center"/>
              <w:rPr>
                <w:rFonts w:ascii="Times New Roman" w:hAnsi="Times New Roman" w:cs="Times New Roman"/>
                <w:b/>
                <w:color w:val="000000" w:themeColor="text1"/>
                <w:sz w:val="24"/>
                <w:szCs w:val="24"/>
                <w:lang w:val="ro-RO" w:eastAsia="ro-RO"/>
              </w:rPr>
            </w:pPr>
            <w:r w:rsidRPr="008770A7">
              <w:rPr>
                <w:rFonts w:ascii="Times New Roman" w:hAnsi="Times New Roman" w:cs="Times New Roman"/>
                <w:b/>
                <w:color w:val="000000" w:themeColor="text1"/>
                <w:sz w:val="24"/>
                <w:szCs w:val="24"/>
                <w:lang w:val="ro-RO" w:eastAsia="ro-RO"/>
              </w:rPr>
              <w:t>Ambrozie-Irineu DARĂU</w:t>
            </w:r>
          </w:p>
          <w:p w14:paraId="65CEAAE3" w14:textId="1813174C" w:rsidR="0067052F" w:rsidRPr="00E40663" w:rsidRDefault="0067052F" w:rsidP="006F4A54">
            <w:pPr>
              <w:spacing w:before="120" w:after="120" w:line="240" w:lineRule="auto"/>
              <w:jc w:val="center"/>
              <w:rPr>
                <w:rFonts w:ascii="Times New Roman" w:hAnsi="Times New Roman" w:cs="Times New Roman"/>
                <w:b/>
                <w:bCs/>
                <w:color w:val="000000" w:themeColor="text1"/>
                <w:sz w:val="24"/>
                <w:szCs w:val="24"/>
                <w:lang w:val="ro-RO"/>
              </w:rPr>
            </w:pPr>
          </w:p>
        </w:tc>
        <w:tc>
          <w:tcPr>
            <w:tcW w:w="4867" w:type="dxa"/>
          </w:tcPr>
          <w:p w14:paraId="69FC7C18" w14:textId="77777777" w:rsidR="0035627E" w:rsidRPr="00E40663" w:rsidRDefault="0035627E" w:rsidP="006F4A54">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ȘEFUL CANCELARIEI PRIM-MINISTRULUI</w:t>
            </w:r>
          </w:p>
          <w:p w14:paraId="16318827" w14:textId="77777777" w:rsidR="0035627E" w:rsidRPr="00E40663" w:rsidRDefault="0035627E" w:rsidP="006F4A54">
            <w:pPr>
              <w:spacing w:before="120" w:after="120" w:line="240" w:lineRule="auto"/>
              <w:jc w:val="center"/>
              <w:rPr>
                <w:rFonts w:ascii="Times New Roman" w:hAnsi="Times New Roman" w:cs="Times New Roman"/>
                <w:b/>
                <w:bCs/>
                <w:color w:val="000000" w:themeColor="text1"/>
                <w:sz w:val="24"/>
                <w:szCs w:val="24"/>
                <w:lang w:val="ro-RO"/>
              </w:rPr>
            </w:pPr>
          </w:p>
          <w:p w14:paraId="5D4A1BC7" w14:textId="5B6F733F" w:rsidR="0067052F" w:rsidRPr="00E40663" w:rsidRDefault="0035627E" w:rsidP="006F4A54">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Mihai JURC</w:t>
            </w:r>
            <w:r w:rsidR="00ED15B4">
              <w:rPr>
                <w:rFonts w:ascii="Times New Roman" w:hAnsi="Times New Roman" w:cs="Times New Roman"/>
                <w:b/>
                <w:bCs/>
                <w:color w:val="000000" w:themeColor="text1"/>
                <w:sz w:val="24"/>
                <w:szCs w:val="24"/>
                <w:lang w:val="ro-RO"/>
              </w:rPr>
              <w:t>A</w:t>
            </w:r>
          </w:p>
        </w:tc>
      </w:tr>
      <w:tr w:rsidR="0067052F" w:rsidRPr="00E40663" w14:paraId="6EA85B18" w14:textId="77777777" w:rsidTr="007D0BD3">
        <w:trPr>
          <w:trHeight w:val="1849"/>
        </w:trPr>
        <w:tc>
          <w:tcPr>
            <w:tcW w:w="4673" w:type="dxa"/>
          </w:tcPr>
          <w:p w14:paraId="1B878FD9" w14:textId="77777777" w:rsidR="00903C3A" w:rsidRPr="00E40663" w:rsidRDefault="00903C3A" w:rsidP="00903C3A">
            <w:pPr>
              <w:autoSpaceDE w:val="0"/>
              <w:autoSpaceDN w:val="0"/>
              <w:adjustRightInd w:val="0"/>
              <w:spacing w:before="120" w:after="120" w:line="240" w:lineRule="auto"/>
              <w:jc w:val="center"/>
              <w:rPr>
                <w:rFonts w:ascii="Times New Roman" w:hAnsi="Times New Roman" w:cs="Times New Roman"/>
                <w:b/>
                <w:color w:val="000000" w:themeColor="text1"/>
                <w:sz w:val="24"/>
                <w:szCs w:val="24"/>
                <w:lang w:val="ro-RO" w:eastAsia="ro-RO"/>
              </w:rPr>
            </w:pPr>
            <w:r w:rsidRPr="00E40663">
              <w:rPr>
                <w:rFonts w:ascii="Times New Roman" w:hAnsi="Times New Roman" w:cs="Times New Roman"/>
                <w:b/>
                <w:color w:val="000000" w:themeColor="text1"/>
                <w:sz w:val="24"/>
                <w:szCs w:val="24"/>
                <w:lang w:val="ro-RO" w:eastAsia="ro-RO"/>
              </w:rPr>
              <w:t>SECRETAR GENERAL</w:t>
            </w:r>
            <w:r>
              <w:rPr>
                <w:rFonts w:ascii="Times New Roman" w:hAnsi="Times New Roman" w:cs="Times New Roman"/>
                <w:b/>
                <w:color w:val="000000" w:themeColor="text1"/>
                <w:sz w:val="24"/>
                <w:szCs w:val="24"/>
                <w:lang w:val="ro-RO" w:eastAsia="ro-RO"/>
              </w:rPr>
              <w:t xml:space="preserve"> AL</w:t>
            </w:r>
          </w:p>
          <w:p w14:paraId="3AA638DF" w14:textId="77777777" w:rsidR="00903C3A" w:rsidRPr="00E40663" w:rsidRDefault="00903C3A" w:rsidP="00903C3A">
            <w:pPr>
              <w:autoSpaceDE w:val="0"/>
              <w:autoSpaceDN w:val="0"/>
              <w:adjustRightInd w:val="0"/>
              <w:spacing w:before="120" w:after="120" w:line="240" w:lineRule="auto"/>
              <w:jc w:val="center"/>
              <w:rPr>
                <w:rFonts w:ascii="Times New Roman" w:hAnsi="Times New Roman" w:cs="Times New Roman"/>
                <w:b/>
                <w:color w:val="000000" w:themeColor="text1"/>
                <w:sz w:val="24"/>
                <w:szCs w:val="24"/>
                <w:lang w:val="ro-RO" w:eastAsia="ro-RO"/>
              </w:rPr>
            </w:pPr>
            <w:r w:rsidRPr="00E40663">
              <w:rPr>
                <w:rFonts w:ascii="Times New Roman" w:hAnsi="Times New Roman" w:cs="Times New Roman"/>
                <w:b/>
                <w:color w:val="000000" w:themeColor="text1"/>
                <w:sz w:val="24"/>
                <w:szCs w:val="24"/>
                <w:lang w:val="ro-RO" w:eastAsia="ro-RO"/>
              </w:rPr>
              <w:t>GUVERNULUI</w:t>
            </w:r>
          </w:p>
          <w:p w14:paraId="15E08FF7" w14:textId="77777777" w:rsidR="00903C3A" w:rsidRPr="00E40663" w:rsidRDefault="00903C3A" w:rsidP="00903C3A">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Ștefan - Radu OPREA</w:t>
            </w:r>
          </w:p>
          <w:p w14:paraId="6AC2674E" w14:textId="5BD3CE30" w:rsidR="0067052F" w:rsidRPr="00E40663" w:rsidRDefault="0067052F" w:rsidP="006F4A54">
            <w:pPr>
              <w:autoSpaceDE w:val="0"/>
              <w:autoSpaceDN w:val="0"/>
              <w:adjustRightInd w:val="0"/>
              <w:spacing w:before="120" w:after="120" w:line="240" w:lineRule="auto"/>
              <w:jc w:val="center"/>
              <w:rPr>
                <w:rFonts w:ascii="Times New Roman" w:hAnsi="Times New Roman" w:cs="Times New Roman"/>
                <w:b/>
                <w:color w:val="000000" w:themeColor="text1"/>
                <w:sz w:val="24"/>
                <w:szCs w:val="24"/>
                <w:lang w:val="ro-RO" w:eastAsia="ro-RO"/>
              </w:rPr>
            </w:pPr>
          </w:p>
        </w:tc>
        <w:tc>
          <w:tcPr>
            <w:tcW w:w="4867" w:type="dxa"/>
          </w:tcPr>
          <w:p w14:paraId="3299DD37" w14:textId="77777777" w:rsidR="00903C3A" w:rsidRPr="00E40663" w:rsidRDefault="00903C3A" w:rsidP="00903C3A">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rPr>
              <w:t>PREŞEDINTE</w:t>
            </w:r>
            <w:r>
              <w:rPr>
                <w:rFonts w:ascii="Times New Roman" w:hAnsi="Times New Roman" w:cs="Times New Roman"/>
                <w:b/>
                <w:color w:val="000000" w:themeColor="text1"/>
                <w:sz w:val="24"/>
                <w:szCs w:val="24"/>
                <w:lang w:val="ro-RO"/>
              </w:rPr>
              <w:t xml:space="preserve">LE </w:t>
            </w:r>
            <w:r w:rsidRPr="00E40663">
              <w:rPr>
                <w:rFonts w:ascii="Times New Roman" w:hAnsi="Times New Roman" w:cs="Times New Roman"/>
                <w:b/>
                <w:color w:val="000000" w:themeColor="text1"/>
                <w:sz w:val="24"/>
                <w:szCs w:val="24"/>
                <w:lang w:val="ro-RO"/>
              </w:rPr>
              <w:t>AUTORI</w:t>
            </w:r>
            <w:r>
              <w:rPr>
                <w:rFonts w:ascii="Times New Roman" w:hAnsi="Times New Roman" w:cs="Times New Roman"/>
                <w:b/>
                <w:color w:val="000000" w:themeColor="text1"/>
                <w:sz w:val="24"/>
                <w:szCs w:val="24"/>
                <w:lang w:val="ro-RO"/>
              </w:rPr>
              <w:t>TĂȚII</w:t>
            </w:r>
            <w:r w:rsidRPr="00E40663">
              <w:rPr>
                <w:rFonts w:ascii="Times New Roman" w:hAnsi="Times New Roman" w:cs="Times New Roman"/>
                <w:b/>
                <w:color w:val="000000" w:themeColor="text1"/>
                <w:sz w:val="24"/>
                <w:szCs w:val="24"/>
                <w:lang w:val="ro-RO"/>
              </w:rPr>
              <w:t xml:space="preserve"> NAȚIONAL</w:t>
            </w:r>
            <w:r>
              <w:rPr>
                <w:rFonts w:ascii="Times New Roman" w:hAnsi="Times New Roman" w:cs="Times New Roman"/>
                <w:b/>
                <w:color w:val="000000" w:themeColor="text1"/>
                <w:sz w:val="24"/>
                <w:szCs w:val="24"/>
                <w:lang w:val="ro-RO"/>
              </w:rPr>
              <w:t>E</w:t>
            </w:r>
            <w:r w:rsidRPr="00E40663">
              <w:rPr>
                <w:rFonts w:ascii="Times New Roman" w:hAnsi="Times New Roman" w:cs="Times New Roman"/>
                <w:b/>
                <w:color w:val="000000" w:themeColor="text1"/>
                <w:sz w:val="24"/>
                <w:szCs w:val="24"/>
                <w:lang w:val="ro-RO"/>
              </w:rPr>
              <w:t xml:space="preserve"> DE REGLEMENTARE ÎN DOMENIUL MINIER, PETROLIER ȘI AL STOCĂRII GEOLOGICE A DIOXIDULUI DE CARBON </w:t>
            </w:r>
          </w:p>
          <w:p w14:paraId="53C85EB8" w14:textId="77777777" w:rsidR="00903C3A" w:rsidRPr="00E40663" w:rsidRDefault="00903C3A" w:rsidP="00903C3A">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Adriana PETCU</w:t>
            </w:r>
          </w:p>
          <w:p w14:paraId="169509DF" w14:textId="2125132D" w:rsidR="0067052F" w:rsidRPr="00E40663" w:rsidRDefault="0067052F" w:rsidP="00903C3A">
            <w:pPr>
              <w:spacing w:before="120" w:after="120" w:line="240" w:lineRule="auto"/>
              <w:jc w:val="center"/>
              <w:rPr>
                <w:rFonts w:ascii="Times New Roman" w:hAnsi="Times New Roman" w:cs="Times New Roman"/>
                <w:b/>
                <w:color w:val="000000" w:themeColor="text1"/>
                <w:sz w:val="24"/>
                <w:szCs w:val="24"/>
                <w:lang w:val="ro-RO" w:eastAsia="ro-RO"/>
              </w:rPr>
            </w:pPr>
          </w:p>
        </w:tc>
      </w:tr>
      <w:tr w:rsidR="0067052F" w:rsidRPr="00E40663" w14:paraId="316AC3EF" w14:textId="77777777" w:rsidTr="007D0BD3">
        <w:trPr>
          <w:trHeight w:val="607"/>
        </w:trPr>
        <w:tc>
          <w:tcPr>
            <w:tcW w:w="9540" w:type="dxa"/>
            <w:gridSpan w:val="2"/>
          </w:tcPr>
          <w:p w14:paraId="56C3D261" w14:textId="450BB9DA" w:rsidR="0067052F" w:rsidRPr="00E40663" w:rsidRDefault="0067052F"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rPr>
              <w:t>AVIZAT FAVORABIL</w:t>
            </w:r>
            <w:r w:rsidR="00ED15B4">
              <w:rPr>
                <w:rFonts w:ascii="Times New Roman" w:hAnsi="Times New Roman" w:cs="Times New Roman"/>
                <w:b/>
                <w:color w:val="000000" w:themeColor="text1"/>
                <w:sz w:val="24"/>
                <w:szCs w:val="24"/>
                <w:lang w:val="ro-RO"/>
              </w:rPr>
              <w:t>:</w:t>
            </w:r>
          </w:p>
        </w:tc>
      </w:tr>
      <w:tr w:rsidR="0067052F" w:rsidRPr="00E40663" w14:paraId="562F3F92" w14:textId="77777777" w:rsidTr="007D0BD3">
        <w:trPr>
          <w:trHeight w:val="1552"/>
        </w:trPr>
        <w:tc>
          <w:tcPr>
            <w:tcW w:w="9540" w:type="dxa"/>
            <w:gridSpan w:val="2"/>
          </w:tcPr>
          <w:p w14:paraId="67EB627E" w14:textId="5A03121E" w:rsidR="0067052F" w:rsidRPr="00E40663" w:rsidRDefault="0067052F" w:rsidP="006F4A54">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VICEPRIM-MINISTRU</w:t>
            </w:r>
            <w:r w:rsidR="008770A7">
              <w:rPr>
                <w:rFonts w:ascii="Times New Roman" w:hAnsi="Times New Roman" w:cs="Times New Roman"/>
                <w:b/>
                <w:bCs/>
                <w:color w:val="000000" w:themeColor="text1"/>
                <w:sz w:val="24"/>
                <w:szCs w:val="24"/>
                <w:lang w:val="ro-RO"/>
              </w:rPr>
              <w:t>,</w:t>
            </w:r>
          </w:p>
          <w:p w14:paraId="20C7D555" w14:textId="78DD1749" w:rsidR="008770A7" w:rsidRPr="00E40663" w:rsidRDefault="008770A7" w:rsidP="006F4A54">
            <w:pPr>
              <w:spacing w:before="120" w:after="120" w:line="240" w:lineRule="auto"/>
              <w:jc w:val="center"/>
              <w:rPr>
                <w:rFonts w:ascii="Times New Roman" w:hAnsi="Times New Roman" w:cs="Times New Roman"/>
                <w:b/>
                <w:bCs/>
                <w:color w:val="000000" w:themeColor="text1"/>
                <w:sz w:val="24"/>
                <w:szCs w:val="24"/>
                <w:lang w:val="ro-RO"/>
              </w:rPr>
            </w:pPr>
            <w:r w:rsidRPr="008770A7">
              <w:rPr>
                <w:rFonts w:ascii="Times New Roman" w:hAnsi="Times New Roman" w:cs="Times New Roman"/>
                <w:b/>
                <w:bCs/>
                <w:color w:val="000000" w:themeColor="text1"/>
                <w:sz w:val="24"/>
                <w:szCs w:val="24"/>
                <w:lang w:val="ro-RO"/>
              </w:rPr>
              <w:t>MINISTRU</w:t>
            </w:r>
            <w:r>
              <w:rPr>
                <w:rFonts w:ascii="Times New Roman" w:hAnsi="Times New Roman" w:cs="Times New Roman"/>
                <w:b/>
                <w:bCs/>
                <w:color w:val="000000" w:themeColor="text1"/>
                <w:sz w:val="24"/>
                <w:szCs w:val="24"/>
                <w:lang w:val="ro-RO"/>
              </w:rPr>
              <w:t>L</w:t>
            </w:r>
            <w:r w:rsidRPr="008770A7">
              <w:rPr>
                <w:rFonts w:ascii="Times New Roman" w:hAnsi="Times New Roman" w:cs="Times New Roman"/>
                <w:b/>
                <w:bCs/>
                <w:color w:val="000000" w:themeColor="text1"/>
                <w:sz w:val="24"/>
                <w:szCs w:val="24"/>
                <w:lang w:val="ro-RO"/>
              </w:rPr>
              <w:t xml:space="preserve"> APĂRĂRII NAȚIONALE</w:t>
            </w:r>
          </w:p>
          <w:p w14:paraId="618FA5F6" w14:textId="77777777" w:rsidR="0067052F" w:rsidRDefault="0035627E" w:rsidP="006F4A54">
            <w:pPr>
              <w:spacing w:before="120" w:after="120" w:line="240" w:lineRule="auto"/>
              <w:jc w:val="center"/>
              <w:rPr>
                <w:rFonts w:ascii="Times New Roman" w:hAnsi="Times New Roman" w:cs="Times New Roman"/>
                <w:b/>
                <w:bCs/>
                <w:color w:val="000000" w:themeColor="text1"/>
                <w:sz w:val="24"/>
                <w:szCs w:val="24"/>
                <w:lang w:val="ro-RO"/>
              </w:rPr>
            </w:pPr>
            <w:r w:rsidRPr="00E40663">
              <w:rPr>
                <w:rFonts w:ascii="Times New Roman" w:hAnsi="Times New Roman" w:cs="Times New Roman"/>
                <w:b/>
                <w:bCs/>
                <w:color w:val="000000" w:themeColor="text1"/>
                <w:sz w:val="24"/>
                <w:szCs w:val="24"/>
                <w:lang w:val="ro-RO"/>
              </w:rPr>
              <w:t>Radu - Dinel MIRUȚĂ</w:t>
            </w:r>
          </w:p>
          <w:p w14:paraId="4968C5D1" w14:textId="77777777" w:rsidR="00ED15B4" w:rsidRDefault="00ED15B4" w:rsidP="006F4A54">
            <w:pPr>
              <w:spacing w:before="120" w:after="120" w:line="240" w:lineRule="auto"/>
              <w:jc w:val="center"/>
              <w:rPr>
                <w:rFonts w:ascii="Times New Roman" w:hAnsi="Times New Roman" w:cs="Times New Roman"/>
                <w:b/>
                <w:bCs/>
                <w:color w:val="000000" w:themeColor="text1"/>
                <w:sz w:val="24"/>
                <w:szCs w:val="24"/>
                <w:lang w:val="ro-RO"/>
              </w:rPr>
            </w:pPr>
          </w:p>
          <w:p w14:paraId="29E1CAD6" w14:textId="35087C0E" w:rsidR="008770A7" w:rsidRPr="00E40663" w:rsidRDefault="008770A7" w:rsidP="006F4A54">
            <w:pPr>
              <w:spacing w:before="120" w:after="120" w:line="240" w:lineRule="auto"/>
              <w:jc w:val="center"/>
              <w:rPr>
                <w:rFonts w:ascii="Times New Roman" w:hAnsi="Times New Roman" w:cs="Times New Roman"/>
                <w:b/>
                <w:color w:val="000000" w:themeColor="text1"/>
                <w:sz w:val="24"/>
                <w:szCs w:val="24"/>
                <w:lang w:val="ro-RO"/>
              </w:rPr>
            </w:pPr>
          </w:p>
        </w:tc>
      </w:tr>
      <w:tr w:rsidR="0067052F" w:rsidRPr="00E40663" w14:paraId="39D8545B" w14:textId="77777777" w:rsidTr="007D0BD3">
        <w:trPr>
          <w:trHeight w:val="1470"/>
        </w:trPr>
        <w:tc>
          <w:tcPr>
            <w:tcW w:w="4673" w:type="dxa"/>
          </w:tcPr>
          <w:p w14:paraId="6DA696FB" w14:textId="4F3AAF0E" w:rsidR="0067052F" w:rsidRPr="00E40663" w:rsidRDefault="00ED15B4"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eastAsia="ro-RO"/>
              </w:rPr>
              <w:t>MINISTRU</w:t>
            </w:r>
            <w:r w:rsidR="0067052F" w:rsidRPr="00E40663">
              <w:rPr>
                <w:rFonts w:ascii="Times New Roman" w:hAnsi="Times New Roman" w:cs="Times New Roman"/>
                <w:b/>
                <w:color w:val="000000" w:themeColor="text1"/>
                <w:sz w:val="24"/>
                <w:szCs w:val="24"/>
                <w:lang w:val="ro-RO"/>
              </w:rPr>
              <w:t>L MEDIULUI, APELOR ȘI</w:t>
            </w:r>
          </w:p>
          <w:p w14:paraId="14CA74EF" w14:textId="702FE7D0" w:rsidR="00ED15B4" w:rsidRPr="00E40663" w:rsidRDefault="0067052F"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rPr>
              <w:t xml:space="preserve">PĂDURILOR </w:t>
            </w:r>
          </w:p>
          <w:p w14:paraId="22D20615" w14:textId="6E46BC83" w:rsidR="0067052F" w:rsidRPr="00E40663" w:rsidRDefault="00065AE3" w:rsidP="006F4A54">
            <w:pPr>
              <w:spacing w:before="120" w:after="120" w:line="240" w:lineRule="auto"/>
              <w:jc w:val="center"/>
              <w:rPr>
                <w:rFonts w:ascii="Times New Roman" w:hAnsi="Times New Roman" w:cs="Times New Roman"/>
                <w:color w:val="000000" w:themeColor="text1"/>
                <w:sz w:val="24"/>
                <w:szCs w:val="24"/>
                <w:lang w:val="ro-RO"/>
              </w:rPr>
            </w:pPr>
            <w:r w:rsidRPr="00E40663">
              <w:rPr>
                <w:rFonts w:ascii="Times New Roman" w:hAnsi="Times New Roman" w:cs="Times New Roman"/>
                <w:b/>
                <w:color w:val="000000" w:themeColor="text1"/>
                <w:sz w:val="24"/>
                <w:szCs w:val="24"/>
                <w:lang w:val="ro-RO"/>
              </w:rPr>
              <w:t>Diana - Anda BUZOIANU</w:t>
            </w:r>
          </w:p>
        </w:tc>
        <w:tc>
          <w:tcPr>
            <w:tcW w:w="4867" w:type="dxa"/>
          </w:tcPr>
          <w:p w14:paraId="6E40285F" w14:textId="5C8686BE" w:rsidR="0067052F" w:rsidRDefault="00ED15B4"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eastAsia="ro-RO"/>
              </w:rPr>
              <w:t>MINISTRU</w:t>
            </w:r>
            <w:r w:rsidR="0067052F" w:rsidRPr="00E40663">
              <w:rPr>
                <w:rFonts w:ascii="Times New Roman" w:hAnsi="Times New Roman" w:cs="Times New Roman"/>
                <w:b/>
                <w:color w:val="000000" w:themeColor="text1"/>
                <w:sz w:val="24"/>
                <w:szCs w:val="24"/>
                <w:lang w:val="ro-RO"/>
              </w:rPr>
              <w:t xml:space="preserve">L FINANȚELOR </w:t>
            </w:r>
          </w:p>
          <w:p w14:paraId="075F12D6" w14:textId="77777777" w:rsidR="00ED15B4" w:rsidRPr="00E40663" w:rsidRDefault="00ED15B4" w:rsidP="006F4A54">
            <w:pPr>
              <w:spacing w:before="120" w:after="120" w:line="240" w:lineRule="auto"/>
              <w:jc w:val="center"/>
              <w:rPr>
                <w:rFonts w:ascii="Times New Roman" w:hAnsi="Times New Roman" w:cs="Times New Roman"/>
                <w:b/>
                <w:color w:val="000000" w:themeColor="text1"/>
                <w:sz w:val="24"/>
                <w:szCs w:val="24"/>
                <w:lang w:val="ro-RO" w:eastAsia="ro-RO"/>
              </w:rPr>
            </w:pPr>
          </w:p>
          <w:p w14:paraId="7EC1AE97" w14:textId="77777777" w:rsidR="0067052F" w:rsidRDefault="00B266AF"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rPr>
              <w:t>Alexandru NAZARE</w:t>
            </w:r>
          </w:p>
          <w:p w14:paraId="7E78E4C5" w14:textId="77777777" w:rsidR="00ED15B4" w:rsidRDefault="00ED15B4" w:rsidP="006F4A54">
            <w:pPr>
              <w:spacing w:before="120" w:after="120" w:line="240" w:lineRule="auto"/>
              <w:jc w:val="center"/>
              <w:rPr>
                <w:rFonts w:ascii="Times New Roman" w:hAnsi="Times New Roman" w:cs="Times New Roman"/>
                <w:b/>
                <w:color w:val="000000" w:themeColor="text1"/>
                <w:sz w:val="24"/>
                <w:szCs w:val="24"/>
                <w:lang w:val="ro-RO"/>
              </w:rPr>
            </w:pPr>
          </w:p>
          <w:p w14:paraId="5A9C50E5" w14:textId="5F63C8EF" w:rsidR="00A87DDB" w:rsidRPr="00E40663" w:rsidRDefault="00A87DDB" w:rsidP="006F4A54">
            <w:pPr>
              <w:spacing w:before="120" w:after="120" w:line="240" w:lineRule="auto"/>
              <w:jc w:val="center"/>
              <w:rPr>
                <w:rFonts w:ascii="Times New Roman" w:hAnsi="Times New Roman" w:cs="Times New Roman"/>
                <w:b/>
                <w:color w:val="000000" w:themeColor="text1"/>
                <w:sz w:val="24"/>
                <w:szCs w:val="24"/>
                <w:lang w:val="ro-RO"/>
              </w:rPr>
            </w:pPr>
          </w:p>
        </w:tc>
      </w:tr>
      <w:tr w:rsidR="0067052F" w:rsidRPr="00E40663" w14:paraId="6033ED65" w14:textId="77777777" w:rsidTr="007D0BD3">
        <w:trPr>
          <w:trHeight w:val="1551"/>
        </w:trPr>
        <w:tc>
          <w:tcPr>
            <w:tcW w:w="9540" w:type="dxa"/>
            <w:gridSpan w:val="2"/>
          </w:tcPr>
          <w:p w14:paraId="07D893EA" w14:textId="03585E8D" w:rsidR="0067052F" w:rsidRDefault="00ED15B4" w:rsidP="006F4A54">
            <w:pPr>
              <w:spacing w:before="120" w:after="120" w:line="240" w:lineRule="auto"/>
              <w:jc w:val="center"/>
              <w:rPr>
                <w:rFonts w:ascii="Times New Roman" w:hAnsi="Times New Roman" w:cs="Times New Roman"/>
                <w:b/>
                <w:color w:val="000000" w:themeColor="text1"/>
                <w:sz w:val="24"/>
                <w:szCs w:val="24"/>
                <w:lang w:val="ro-RO" w:eastAsia="ro-RO"/>
              </w:rPr>
            </w:pPr>
            <w:r w:rsidRPr="00E40663">
              <w:rPr>
                <w:rFonts w:ascii="Times New Roman" w:hAnsi="Times New Roman" w:cs="Times New Roman"/>
                <w:b/>
                <w:color w:val="000000" w:themeColor="text1"/>
                <w:sz w:val="24"/>
                <w:szCs w:val="24"/>
                <w:lang w:val="ro-RO" w:eastAsia="ro-RO"/>
              </w:rPr>
              <w:t>MINISTRU</w:t>
            </w:r>
            <w:r w:rsidR="0067052F" w:rsidRPr="00E40663">
              <w:rPr>
                <w:rFonts w:ascii="Times New Roman" w:hAnsi="Times New Roman" w:cs="Times New Roman"/>
                <w:b/>
                <w:color w:val="000000" w:themeColor="text1"/>
                <w:sz w:val="24"/>
                <w:szCs w:val="24"/>
                <w:lang w:val="ro-RO"/>
              </w:rPr>
              <w:t>L JUSTIȚIEI</w:t>
            </w:r>
          </w:p>
          <w:p w14:paraId="2D924A2A" w14:textId="69320BB4" w:rsidR="0067052F" w:rsidRPr="00E40663" w:rsidRDefault="00003237" w:rsidP="006F4A54">
            <w:pPr>
              <w:spacing w:before="120" w:after="120" w:line="240" w:lineRule="auto"/>
              <w:jc w:val="center"/>
              <w:rPr>
                <w:rFonts w:ascii="Times New Roman" w:hAnsi="Times New Roman" w:cs="Times New Roman"/>
                <w:b/>
                <w:color w:val="000000" w:themeColor="text1"/>
                <w:sz w:val="24"/>
                <w:szCs w:val="24"/>
                <w:lang w:val="ro-RO"/>
              </w:rPr>
            </w:pPr>
            <w:r w:rsidRPr="00E40663">
              <w:rPr>
                <w:rFonts w:ascii="Times New Roman" w:hAnsi="Times New Roman" w:cs="Times New Roman"/>
                <w:b/>
                <w:color w:val="000000" w:themeColor="text1"/>
                <w:sz w:val="24"/>
                <w:szCs w:val="24"/>
                <w:lang w:val="ro-RO"/>
              </w:rPr>
              <w:t>Radu MARINESCU</w:t>
            </w:r>
          </w:p>
        </w:tc>
      </w:tr>
    </w:tbl>
    <w:p w14:paraId="43ED3A8E" w14:textId="77777777" w:rsidR="00974ABD" w:rsidRPr="00E40663" w:rsidRDefault="00974ABD" w:rsidP="006F4A54">
      <w:pPr>
        <w:tabs>
          <w:tab w:val="left" w:pos="3036"/>
        </w:tabs>
        <w:spacing w:before="120" w:after="120" w:line="240" w:lineRule="auto"/>
        <w:rPr>
          <w:rFonts w:ascii="Times New Roman" w:eastAsiaTheme="majorEastAsia" w:hAnsi="Times New Roman" w:cs="Times New Roman"/>
          <w:b/>
          <w:bCs/>
          <w:sz w:val="24"/>
          <w:szCs w:val="24"/>
          <w:lang w:val="ro-RO"/>
        </w:rPr>
      </w:pPr>
    </w:p>
    <w:p w14:paraId="2FEC99AE" w14:textId="77777777" w:rsidR="00635AD0" w:rsidRDefault="00635AD0" w:rsidP="006F4A54">
      <w:pPr>
        <w:tabs>
          <w:tab w:val="left" w:pos="3036"/>
        </w:tabs>
        <w:spacing w:before="120" w:after="120" w:line="240" w:lineRule="auto"/>
        <w:rPr>
          <w:rFonts w:ascii="Times New Roman" w:eastAsiaTheme="majorEastAsia" w:hAnsi="Times New Roman" w:cs="Times New Roman"/>
          <w:b/>
          <w:bCs/>
          <w:sz w:val="24"/>
          <w:szCs w:val="24"/>
          <w:lang w:val="ro-RO"/>
        </w:rPr>
      </w:pPr>
    </w:p>
    <w:p w14:paraId="549E06D1" w14:textId="77777777" w:rsidR="00903C3A" w:rsidRDefault="00903C3A" w:rsidP="006F4A54">
      <w:pPr>
        <w:tabs>
          <w:tab w:val="left" w:pos="3036"/>
        </w:tabs>
        <w:spacing w:before="120" w:after="120" w:line="240" w:lineRule="auto"/>
        <w:rPr>
          <w:rFonts w:ascii="Times New Roman" w:eastAsiaTheme="majorEastAsia" w:hAnsi="Times New Roman" w:cs="Times New Roman"/>
          <w:b/>
          <w:bCs/>
          <w:sz w:val="24"/>
          <w:szCs w:val="24"/>
          <w:lang w:val="ro-RO"/>
        </w:rPr>
      </w:pPr>
    </w:p>
    <w:p w14:paraId="1F8849D0" w14:textId="77777777" w:rsidR="00903C3A" w:rsidRDefault="00903C3A" w:rsidP="006F4A54">
      <w:pPr>
        <w:tabs>
          <w:tab w:val="left" w:pos="3036"/>
        </w:tabs>
        <w:spacing w:before="120" w:after="120" w:line="240" w:lineRule="auto"/>
        <w:rPr>
          <w:rFonts w:ascii="Times New Roman" w:eastAsiaTheme="majorEastAsia" w:hAnsi="Times New Roman" w:cs="Times New Roman"/>
          <w:b/>
          <w:bCs/>
          <w:sz w:val="24"/>
          <w:szCs w:val="24"/>
          <w:lang w:val="ro-RO"/>
        </w:rPr>
      </w:pPr>
    </w:p>
    <w:p w14:paraId="57E4186D" w14:textId="77777777" w:rsidR="00903C3A" w:rsidRPr="00E40663" w:rsidRDefault="00903C3A" w:rsidP="006F4A54">
      <w:pPr>
        <w:tabs>
          <w:tab w:val="left" w:pos="3036"/>
        </w:tabs>
        <w:spacing w:before="120" w:after="120" w:line="240" w:lineRule="auto"/>
        <w:rPr>
          <w:rFonts w:ascii="Times New Roman" w:eastAsiaTheme="majorEastAsia" w:hAnsi="Times New Roman" w:cs="Times New Roman"/>
          <w:b/>
          <w:bCs/>
          <w:sz w:val="24"/>
          <w:szCs w:val="24"/>
          <w:lang w:val="ro-RO"/>
        </w:rPr>
      </w:pPr>
    </w:p>
    <w:sectPr w:rsidR="00903C3A" w:rsidRPr="00E40663" w:rsidSect="006F4A54">
      <w:footerReference w:type="default" r:id="rId8"/>
      <w:pgSz w:w="11906" w:h="16838"/>
      <w:pgMar w:top="720" w:right="1440" w:bottom="900" w:left="1440" w:header="708"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1A2C" w14:textId="77777777" w:rsidR="0095325B" w:rsidRDefault="0095325B" w:rsidP="00AA7BA4">
      <w:pPr>
        <w:spacing w:after="0" w:line="240" w:lineRule="auto"/>
      </w:pPr>
      <w:r>
        <w:separator/>
      </w:r>
    </w:p>
  </w:endnote>
  <w:endnote w:type="continuationSeparator" w:id="0">
    <w:p w14:paraId="082686F1" w14:textId="77777777" w:rsidR="0095325B" w:rsidRDefault="0095325B"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6F8A" w14:textId="2D867829" w:rsidR="00AA7BA4" w:rsidRDefault="00AA7BA4">
    <w:pPr>
      <w:pStyle w:val="Footer"/>
      <w:jc w:val="right"/>
    </w:pPr>
  </w:p>
  <w:p w14:paraId="4CD0EA8E" w14:textId="77777777" w:rsidR="00AA7BA4" w:rsidRDefault="00AA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4044" w14:textId="77777777" w:rsidR="0095325B" w:rsidRDefault="0095325B" w:rsidP="00AA7BA4">
      <w:pPr>
        <w:spacing w:after="0" w:line="240" w:lineRule="auto"/>
      </w:pPr>
      <w:r>
        <w:separator/>
      </w:r>
    </w:p>
  </w:footnote>
  <w:footnote w:type="continuationSeparator" w:id="0">
    <w:p w14:paraId="71724606" w14:textId="77777777" w:rsidR="0095325B" w:rsidRDefault="0095325B"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1"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52308">
    <w:abstractNumId w:val="17"/>
  </w:num>
  <w:num w:numId="2" w16cid:durableId="1317949657">
    <w:abstractNumId w:val="12"/>
  </w:num>
  <w:num w:numId="3" w16cid:durableId="1993439183">
    <w:abstractNumId w:val="14"/>
  </w:num>
  <w:num w:numId="4" w16cid:durableId="1294675093">
    <w:abstractNumId w:val="8"/>
  </w:num>
  <w:num w:numId="5" w16cid:durableId="1564410941">
    <w:abstractNumId w:val="6"/>
  </w:num>
  <w:num w:numId="6" w16cid:durableId="2088578364">
    <w:abstractNumId w:val="18"/>
  </w:num>
  <w:num w:numId="7" w16cid:durableId="748112798">
    <w:abstractNumId w:val="15"/>
  </w:num>
  <w:num w:numId="8" w16cid:durableId="1422606133">
    <w:abstractNumId w:val="3"/>
  </w:num>
  <w:num w:numId="9" w16cid:durableId="284165611">
    <w:abstractNumId w:val="5"/>
  </w:num>
  <w:num w:numId="10" w16cid:durableId="415202112">
    <w:abstractNumId w:val="7"/>
  </w:num>
  <w:num w:numId="11" w16cid:durableId="951549362">
    <w:abstractNumId w:val="1"/>
  </w:num>
  <w:num w:numId="12" w16cid:durableId="42876862">
    <w:abstractNumId w:val="13"/>
  </w:num>
  <w:num w:numId="13" w16cid:durableId="482700140">
    <w:abstractNumId w:val="16"/>
  </w:num>
  <w:num w:numId="14" w16cid:durableId="23480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61762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765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540543">
    <w:abstractNumId w:val="21"/>
  </w:num>
  <w:num w:numId="18" w16cid:durableId="368997627">
    <w:abstractNumId w:val="19"/>
  </w:num>
  <w:num w:numId="19" w16cid:durableId="221909295">
    <w:abstractNumId w:val="11"/>
  </w:num>
  <w:num w:numId="20" w16cid:durableId="214465501">
    <w:abstractNumId w:val="4"/>
  </w:num>
  <w:num w:numId="21" w16cid:durableId="586573563">
    <w:abstractNumId w:val="20"/>
  </w:num>
  <w:num w:numId="22" w16cid:durableId="186797461">
    <w:abstractNumId w:val="22"/>
  </w:num>
  <w:num w:numId="23" w16cid:durableId="15049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1FFA"/>
    <w:rsid w:val="00003237"/>
    <w:rsid w:val="00004D9A"/>
    <w:rsid w:val="0001701F"/>
    <w:rsid w:val="00023774"/>
    <w:rsid w:val="00027821"/>
    <w:rsid w:val="00051F66"/>
    <w:rsid w:val="0005257A"/>
    <w:rsid w:val="0005606A"/>
    <w:rsid w:val="00056B4E"/>
    <w:rsid w:val="00065AE3"/>
    <w:rsid w:val="00071A09"/>
    <w:rsid w:val="000768A7"/>
    <w:rsid w:val="0008230D"/>
    <w:rsid w:val="00085D1B"/>
    <w:rsid w:val="000965D1"/>
    <w:rsid w:val="000A21EA"/>
    <w:rsid w:val="000B2110"/>
    <w:rsid w:val="000C1B5E"/>
    <w:rsid w:val="000C7097"/>
    <w:rsid w:val="000D76AB"/>
    <w:rsid w:val="000E104A"/>
    <w:rsid w:val="000E17AC"/>
    <w:rsid w:val="000F6446"/>
    <w:rsid w:val="001109AF"/>
    <w:rsid w:val="001114B3"/>
    <w:rsid w:val="00122569"/>
    <w:rsid w:val="00125400"/>
    <w:rsid w:val="001305FC"/>
    <w:rsid w:val="00132307"/>
    <w:rsid w:val="00137008"/>
    <w:rsid w:val="00151BA0"/>
    <w:rsid w:val="00157862"/>
    <w:rsid w:val="0016331D"/>
    <w:rsid w:val="001650EF"/>
    <w:rsid w:val="00165E76"/>
    <w:rsid w:val="0017049A"/>
    <w:rsid w:val="00172764"/>
    <w:rsid w:val="0018269C"/>
    <w:rsid w:val="00182A0C"/>
    <w:rsid w:val="00191382"/>
    <w:rsid w:val="00193463"/>
    <w:rsid w:val="001947E8"/>
    <w:rsid w:val="00196E83"/>
    <w:rsid w:val="001A0A58"/>
    <w:rsid w:val="001A0A7C"/>
    <w:rsid w:val="001A7ACA"/>
    <w:rsid w:val="001B0F82"/>
    <w:rsid w:val="001B356E"/>
    <w:rsid w:val="001B4E47"/>
    <w:rsid w:val="001B6180"/>
    <w:rsid w:val="001B7B8F"/>
    <w:rsid w:val="001C5C69"/>
    <w:rsid w:val="001D42CC"/>
    <w:rsid w:val="001E1892"/>
    <w:rsid w:val="001F18AC"/>
    <w:rsid w:val="002074E8"/>
    <w:rsid w:val="002122E0"/>
    <w:rsid w:val="00212E60"/>
    <w:rsid w:val="00220FE3"/>
    <w:rsid w:val="00226A22"/>
    <w:rsid w:val="002271B4"/>
    <w:rsid w:val="00241044"/>
    <w:rsid w:val="00245FB6"/>
    <w:rsid w:val="002506F2"/>
    <w:rsid w:val="00255293"/>
    <w:rsid w:val="00260F5A"/>
    <w:rsid w:val="00285BF3"/>
    <w:rsid w:val="00294BA5"/>
    <w:rsid w:val="0029766B"/>
    <w:rsid w:val="002B2F0D"/>
    <w:rsid w:val="002B37E3"/>
    <w:rsid w:val="002C053C"/>
    <w:rsid w:val="002C1CE3"/>
    <w:rsid w:val="002E0C0D"/>
    <w:rsid w:val="002E6CDF"/>
    <w:rsid w:val="00300948"/>
    <w:rsid w:val="00315BF4"/>
    <w:rsid w:val="00317F52"/>
    <w:rsid w:val="0032736D"/>
    <w:rsid w:val="0034437E"/>
    <w:rsid w:val="00353658"/>
    <w:rsid w:val="0035627E"/>
    <w:rsid w:val="00356433"/>
    <w:rsid w:val="0036091B"/>
    <w:rsid w:val="00360941"/>
    <w:rsid w:val="003B09C5"/>
    <w:rsid w:val="003B24EE"/>
    <w:rsid w:val="003B2922"/>
    <w:rsid w:val="003B61E1"/>
    <w:rsid w:val="003C3193"/>
    <w:rsid w:val="003E1218"/>
    <w:rsid w:val="003E193F"/>
    <w:rsid w:val="003E2D28"/>
    <w:rsid w:val="003E2D70"/>
    <w:rsid w:val="00401D5C"/>
    <w:rsid w:val="00406D09"/>
    <w:rsid w:val="00410642"/>
    <w:rsid w:val="00411E85"/>
    <w:rsid w:val="00443FB8"/>
    <w:rsid w:val="00450B2F"/>
    <w:rsid w:val="004533A0"/>
    <w:rsid w:val="004569D1"/>
    <w:rsid w:val="00462D76"/>
    <w:rsid w:val="004A4B61"/>
    <w:rsid w:val="004B15DF"/>
    <w:rsid w:val="004B6979"/>
    <w:rsid w:val="004D2F26"/>
    <w:rsid w:val="004D649B"/>
    <w:rsid w:val="004D7805"/>
    <w:rsid w:val="004E45CF"/>
    <w:rsid w:val="004F13A4"/>
    <w:rsid w:val="00530A01"/>
    <w:rsid w:val="005341B6"/>
    <w:rsid w:val="005373FC"/>
    <w:rsid w:val="00542EEC"/>
    <w:rsid w:val="005452E6"/>
    <w:rsid w:val="00550AD1"/>
    <w:rsid w:val="00560F1D"/>
    <w:rsid w:val="005664A8"/>
    <w:rsid w:val="00574125"/>
    <w:rsid w:val="005765A5"/>
    <w:rsid w:val="005911C2"/>
    <w:rsid w:val="005A02AE"/>
    <w:rsid w:val="005A0B5F"/>
    <w:rsid w:val="005A4B13"/>
    <w:rsid w:val="005C609B"/>
    <w:rsid w:val="005D1B50"/>
    <w:rsid w:val="005D2ACD"/>
    <w:rsid w:val="005E42BE"/>
    <w:rsid w:val="005F1047"/>
    <w:rsid w:val="006048D0"/>
    <w:rsid w:val="00611BBF"/>
    <w:rsid w:val="0062181D"/>
    <w:rsid w:val="00627596"/>
    <w:rsid w:val="00635AD0"/>
    <w:rsid w:val="00643751"/>
    <w:rsid w:val="00654446"/>
    <w:rsid w:val="0065608C"/>
    <w:rsid w:val="0067052F"/>
    <w:rsid w:val="006971DF"/>
    <w:rsid w:val="006A08AB"/>
    <w:rsid w:val="006B2CE0"/>
    <w:rsid w:val="006D6D3F"/>
    <w:rsid w:val="006E00E6"/>
    <w:rsid w:val="006F4A54"/>
    <w:rsid w:val="006F61E3"/>
    <w:rsid w:val="007163C2"/>
    <w:rsid w:val="00716791"/>
    <w:rsid w:val="007202BE"/>
    <w:rsid w:val="00722533"/>
    <w:rsid w:val="0072323E"/>
    <w:rsid w:val="007412D0"/>
    <w:rsid w:val="00741DB2"/>
    <w:rsid w:val="00742C88"/>
    <w:rsid w:val="00746746"/>
    <w:rsid w:val="00747D4C"/>
    <w:rsid w:val="00756315"/>
    <w:rsid w:val="00776134"/>
    <w:rsid w:val="007834D5"/>
    <w:rsid w:val="007836BD"/>
    <w:rsid w:val="00790A45"/>
    <w:rsid w:val="007B7643"/>
    <w:rsid w:val="007D0BD3"/>
    <w:rsid w:val="007D0EE5"/>
    <w:rsid w:val="007E0943"/>
    <w:rsid w:val="007F308A"/>
    <w:rsid w:val="0081077A"/>
    <w:rsid w:val="00821F2F"/>
    <w:rsid w:val="00831813"/>
    <w:rsid w:val="00836EA1"/>
    <w:rsid w:val="00845B3E"/>
    <w:rsid w:val="00853CC7"/>
    <w:rsid w:val="00854263"/>
    <w:rsid w:val="00854A04"/>
    <w:rsid w:val="00855954"/>
    <w:rsid w:val="00857AD3"/>
    <w:rsid w:val="00857FB8"/>
    <w:rsid w:val="0087179F"/>
    <w:rsid w:val="00875233"/>
    <w:rsid w:val="008770A7"/>
    <w:rsid w:val="00897118"/>
    <w:rsid w:val="00897C24"/>
    <w:rsid w:val="008B5F80"/>
    <w:rsid w:val="008C2BAA"/>
    <w:rsid w:val="008C65FA"/>
    <w:rsid w:val="008E56F7"/>
    <w:rsid w:val="008E5A5A"/>
    <w:rsid w:val="008E7001"/>
    <w:rsid w:val="009021D0"/>
    <w:rsid w:val="00903C3A"/>
    <w:rsid w:val="00903F47"/>
    <w:rsid w:val="00912B3D"/>
    <w:rsid w:val="00916F2F"/>
    <w:rsid w:val="009208AB"/>
    <w:rsid w:val="00931F18"/>
    <w:rsid w:val="00940862"/>
    <w:rsid w:val="00944D01"/>
    <w:rsid w:val="0095325B"/>
    <w:rsid w:val="00962D24"/>
    <w:rsid w:val="00965A5A"/>
    <w:rsid w:val="00974ABD"/>
    <w:rsid w:val="0098004E"/>
    <w:rsid w:val="00987BA6"/>
    <w:rsid w:val="00992FDC"/>
    <w:rsid w:val="009C69E2"/>
    <w:rsid w:val="009D06B9"/>
    <w:rsid w:val="009D47A8"/>
    <w:rsid w:val="009E455A"/>
    <w:rsid w:val="009F0CC0"/>
    <w:rsid w:val="009F12E6"/>
    <w:rsid w:val="00A02DA3"/>
    <w:rsid w:val="00A05177"/>
    <w:rsid w:val="00A222CB"/>
    <w:rsid w:val="00A24F45"/>
    <w:rsid w:val="00A311A3"/>
    <w:rsid w:val="00A43BAE"/>
    <w:rsid w:val="00A44B27"/>
    <w:rsid w:val="00A45E32"/>
    <w:rsid w:val="00A471CC"/>
    <w:rsid w:val="00A62609"/>
    <w:rsid w:val="00A6612E"/>
    <w:rsid w:val="00A67845"/>
    <w:rsid w:val="00A77AC6"/>
    <w:rsid w:val="00A8091C"/>
    <w:rsid w:val="00A86E65"/>
    <w:rsid w:val="00A87DDB"/>
    <w:rsid w:val="00A9430E"/>
    <w:rsid w:val="00AA49E1"/>
    <w:rsid w:val="00AA7BA4"/>
    <w:rsid w:val="00AB5581"/>
    <w:rsid w:val="00AB5B13"/>
    <w:rsid w:val="00AC207D"/>
    <w:rsid w:val="00AC341F"/>
    <w:rsid w:val="00AC3626"/>
    <w:rsid w:val="00AC5EA2"/>
    <w:rsid w:val="00AD20D8"/>
    <w:rsid w:val="00AD79B6"/>
    <w:rsid w:val="00AE036D"/>
    <w:rsid w:val="00B0776B"/>
    <w:rsid w:val="00B266AF"/>
    <w:rsid w:val="00B3041D"/>
    <w:rsid w:val="00B43451"/>
    <w:rsid w:val="00B678A0"/>
    <w:rsid w:val="00B80ED4"/>
    <w:rsid w:val="00B8449D"/>
    <w:rsid w:val="00B93FDA"/>
    <w:rsid w:val="00B95D56"/>
    <w:rsid w:val="00BB0F4F"/>
    <w:rsid w:val="00BB452E"/>
    <w:rsid w:val="00BB619F"/>
    <w:rsid w:val="00BB63A6"/>
    <w:rsid w:val="00BC0217"/>
    <w:rsid w:val="00BC11BB"/>
    <w:rsid w:val="00BC2816"/>
    <w:rsid w:val="00BC5961"/>
    <w:rsid w:val="00BD1665"/>
    <w:rsid w:val="00BF1F67"/>
    <w:rsid w:val="00BF4F91"/>
    <w:rsid w:val="00BF5FD7"/>
    <w:rsid w:val="00C10C75"/>
    <w:rsid w:val="00C10F02"/>
    <w:rsid w:val="00C126F5"/>
    <w:rsid w:val="00C35757"/>
    <w:rsid w:val="00C40498"/>
    <w:rsid w:val="00C6719B"/>
    <w:rsid w:val="00C71235"/>
    <w:rsid w:val="00C73199"/>
    <w:rsid w:val="00C760EA"/>
    <w:rsid w:val="00C76AAC"/>
    <w:rsid w:val="00C84EED"/>
    <w:rsid w:val="00C93AC1"/>
    <w:rsid w:val="00CA3507"/>
    <w:rsid w:val="00CA56C7"/>
    <w:rsid w:val="00CB256B"/>
    <w:rsid w:val="00CB4F9A"/>
    <w:rsid w:val="00CB5F08"/>
    <w:rsid w:val="00CB6E6B"/>
    <w:rsid w:val="00CE3275"/>
    <w:rsid w:val="00CE5189"/>
    <w:rsid w:val="00CF6AED"/>
    <w:rsid w:val="00CF7A0C"/>
    <w:rsid w:val="00D01CBF"/>
    <w:rsid w:val="00D025F0"/>
    <w:rsid w:val="00D057C5"/>
    <w:rsid w:val="00D102B9"/>
    <w:rsid w:val="00D34C4E"/>
    <w:rsid w:val="00D37979"/>
    <w:rsid w:val="00D41C27"/>
    <w:rsid w:val="00D42B26"/>
    <w:rsid w:val="00D5317B"/>
    <w:rsid w:val="00D533D7"/>
    <w:rsid w:val="00D53C2D"/>
    <w:rsid w:val="00D57F55"/>
    <w:rsid w:val="00D84243"/>
    <w:rsid w:val="00D93749"/>
    <w:rsid w:val="00D93A81"/>
    <w:rsid w:val="00D95F9B"/>
    <w:rsid w:val="00D979BF"/>
    <w:rsid w:val="00DA33F4"/>
    <w:rsid w:val="00DA403E"/>
    <w:rsid w:val="00DA4974"/>
    <w:rsid w:val="00DB7132"/>
    <w:rsid w:val="00DC2A57"/>
    <w:rsid w:val="00DD4E4C"/>
    <w:rsid w:val="00DE0658"/>
    <w:rsid w:val="00DE5A0B"/>
    <w:rsid w:val="00DF1A54"/>
    <w:rsid w:val="00DF2B4C"/>
    <w:rsid w:val="00DF2DD1"/>
    <w:rsid w:val="00DF6667"/>
    <w:rsid w:val="00E0617A"/>
    <w:rsid w:val="00E106F5"/>
    <w:rsid w:val="00E25B6E"/>
    <w:rsid w:val="00E2636F"/>
    <w:rsid w:val="00E40663"/>
    <w:rsid w:val="00E446AE"/>
    <w:rsid w:val="00E520A9"/>
    <w:rsid w:val="00E5565D"/>
    <w:rsid w:val="00E56688"/>
    <w:rsid w:val="00E5742E"/>
    <w:rsid w:val="00E71D43"/>
    <w:rsid w:val="00E80360"/>
    <w:rsid w:val="00E817AC"/>
    <w:rsid w:val="00E857AD"/>
    <w:rsid w:val="00EA0A06"/>
    <w:rsid w:val="00EA29BC"/>
    <w:rsid w:val="00EA3C1D"/>
    <w:rsid w:val="00EC2ECF"/>
    <w:rsid w:val="00ED15B4"/>
    <w:rsid w:val="00ED77A8"/>
    <w:rsid w:val="00EE51C3"/>
    <w:rsid w:val="00F013A4"/>
    <w:rsid w:val="00F01BFB"/>
    <w:rsid w:val="00F020C8"/>
    <w:rsid w:val="00F028C0"/>
    <w:rsid w:val="00F105DE"/>
    <w:rsid w:val="00F14AC3"/>
    <w:rsid w:val="00F17DD3"/>
    <w:rsid w:val="00F54E5E"/>
    <w:rsid w:val="00F55467"/>
    <w:rsid w:val="00F651C9"/>
    <w:rsid w:val="00F65E55"/>
    <w:rsid w:val="00F752EA"/>
    <w:rsid w:val="00F96B47"/>
    <w:rsid w:val="00F9727B"/>
    <w:rsid w:val="00FA2FC9"/>
    <w:rsid w:val="00FB3FBE"/>
    <w:rsid w:val="00FC0565"/>
    <w:rsid w:val="00FD440D"/>
    <w:rsid w:val="00FE633C"/>
    <w:rsid w:val="00FE7118"/>
    <w:rsid w:val="00FE7DEA"/>
    <w:rsid w:val="00FF0351"/>
    <w:rsid w:val="00FF0F6B"/>
    <w:rsid w:val="00FF2829"/>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3FBB"/>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1140609565">
      <w:bodyDiv w:val="1"/>
      <w:marLeft w:val="0"/>
      <w:marRight w:val="0"/>
      <w:marTop w:val="0"/>
      <w:marBottom w:val="0"/>
      <w:divBdr>
        <w:top w:val="none" w:sz="0" w:space="0" w:color="auto"/>
        <w:left w:val="none" w:sz="0" w:space="0" w:color="auto"/>
        <w:bottom w:val="none" w:sz="0" w:space="0" w:color="auto"/>
        <w:right w:val="none" w:sz="0" w:space="0" w:color="auto"/>
      </w:divBdr>
    </w:div>
    <w:div w:id="1545410841">
      <w:bodyDiv w:val="1"/>
      <w:marLeft w:val="0"/>
      <w:marRight w:val="0"/>
      <w:marTop w:val="0"/>
      <w:marBottom w:val="0"/>
      <w:divBdr>
        <w:top w:val="none" w:sz="0" w:space="0" w:color="auto"/>
        <w:left w:val="none" w:sz="0" w:space="0" w:color="auto"/>
        <w:bottom w:val="none" w:sz="0" w:space="0" w:color="auto"/>
        <w:right w:val="none" w:sz="0" w:space="0" w:color="auto"/>
      </w:divBdr>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90FD-2DBD-42BA-987A-8851D266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2123</Words>
  <Characters>12319</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Lupu</dc:creator>
  <cp:keywords/>
  <dc:description/>
  <cp:lastModifiedBy>Aurelian Gavrilescu</cp:lastModifiedBy>
  <cp:revision>2</cp:revision>
  <cp:lastPrinted>2025-05-15T09:03:00Z</cp:lastPrinted>
  <dcterms:created xsi:type="dcterms:W3CDTF">2026-03-16T09:14:00Z</dcterms:created>
  <dcterms:modified xsi:type="dcterms:W3CDTF">2026-03-16T09:14:00Z</dcterms:modified>
</cp:coreProperties>
</file>