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96" w:rsidRPr="00FD4578" w:rsidRDefault="00EB5296" w:rsidP="00EB5296">
      <w:pPr>
        <w:ind w:left="0"/>
        <w:rPr>
          <w:b/>
        </w:rPr>
      </w:pPr>
    </w:p>
    <w:p w:rsidR="00EB5296" w:rsidRPr="00FD4578" w:rsidRDefault="00EB5296" w:rsidP="00EB5296">
      <w:pPr>
        <w:ind w:left="0"/>
      </w:pPr>
    </w:p>
    <w:p w:rsidR="00EB5296" w:rsidRPr="00FD4578" w:rsidRDefault="00C94EEA" w:rsidP="00EB5296">
      <w:pPr>
        <w:ind w:left="0"/>
        <w:jc w:val="right"/>
        <w:rPr>
          <w:b/>
          <w:u w:val="single"/>
        </w:rPr>
      </w:pPr>
      <w:r w:rsidRPr="00FD4578">
        <w:rPr>
          <w:b/>
          <w:u w:val="single"/>
        </w:rPr>
        <w:t>P</w:t>
      </w:r>
      <w:r w:rsidR="00EB5296" w:rsidRPr="00FD4578">
        <w:rPr>
          <w:b/>
          <w:u w:val="single"/>
        </w:rPr>
        <w:t xml:space="preserve">roiect </w:t>
      </w:r>
    </w:p>
    <w:p w:rsidR="00EB5296" w:rsidRPr="00FD4578" w:rsidRDefault="00EB5296" w:rsidP="004175F0">
      <w:pPr>
        <w:spacing w:after="0"/>
        <w:ind w:left="0"/>
      </w:pPr>
    </w:p>
    <w:p w:rsidR="004175F0" w:rsidRPr="00FD4578" w:rsidRDefault="004175F0" w:rsidP="004175F0">
      <w:pPr>
        <w:rPr>
          <w:rFonts w:cs="Arial"/>
          <w:b/>
          <w:snapToGrid w:val="0"/>
        </w:rPr>
      </w:pPr>
      <w:r w:rsidRPr="00FD4578">
        <w:rPr>
          <w:rFonts w:cs="Arial"/>
          <w:b/>
          <w:snapToGrid w:val="0"/>
        </w:rPr>
        <w:t xml:space="preserve">                EXPUNERE DE MOTIVE</w:t>
      </w:r>
    </w:p>
    <w:p w:rsidR="004175F0" w:rsidRPr="00FD4578" w:rsidRDefault="004175F0" w:rsidP="004175F0">
      <w:pPr>
        <w:jc w:val="center"/>
        <w:rPr>
          <w:rFonts w:cs="Arial"/>
          <w:b/>
          <w:snapToGrid w:val="0"/>
        </w:rPr>
      </w:pPr>
    </w:p>
    <w:p w:rsidR="004175F0" w:rsidRPr="00FD4578" w:rsidRDefault="004175F0" w:rsidP="004175F0">
      <w:pPr>
        <w:rPr>
          <w:rFonts w:cs="Arial"/>
          <w:b/>
          <w:snapToGrid w:val="0"/>
        </w:rPr>
      </w:pPr>
    </w:p>
    <w:tbl>
      <w:tblPr>
        <w:tblW w:w="1026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31"/>
        <w:gridCol w:w="1350"/>
        <w:gridCol w:w="1080"/>
        <w:gridCol w:w="900"/>
        <w:gridCol w:w="900"/>
        <w:gridCol w:w="900"/>
        <w:gridCol w:w="810"/>
      </w:tblGrid>
      <w:tr w:rsidR="004175F0" w:rsidRPr="00FD4578" w:rsidTr="004175F0">
        <w:trPr>
          <w:cantSplit/>
          <w:trHeight w:val="950"/>
        </w:trPr>
        <w:tc>
          <w:tcPr>
            <w:tcW w:w="10260" w:type="dxa"/>
            <w:gridSpan w:val="8"/>
          </w:tcPr>
          <w:p w:rsidR="004175F0" w:rsidRPr="00FD4578" w:rsidRDefault="004175F0" w:rsidP="004175F0">
            <w:pPr>
              <w:ind w:left="0"/>
              <w:jc w:val="center"/>
              <w:rPr>
                <w:rFonts w:cs="Arial"/>
                <w:b/>
                <w:snapToGrid w:val="0"/>
              </w:rPr>
            </w:pPr>
            <w:r w:rsidRPr="00FD4578">
              <w:rPr>
                <w:rFonts w:cs="Arial"/>
                <w:b/>
                <w:snapToGrid w:val="0"/>
              </w:rPr>
              <w:t>Secţiunea 1 – Titlul proiectului de act normativ</w:t>
            </w:r>
          </w:p>
          <w:p w:rsidR="004175F0" w:rsidRPr="00FD4578" w:rsidRDefault="004175F0" w:rsidP="004175F0">
            <w:pPr>
              <w:ind w:left="0"/>
              <w:jc w:val="center"/>
              <w:rPr>
                <w:rFonts w:cs="Arial"/>
                <w:b/>
                <w:snapToGrid w:val="0"/>
              </w:rPr>
            </w:pPr>
          </w:p>
          <w:p w:rsidR="004175F0" w:rsidRPr="00FD4578" w:rsidRDefault="004175F0" w:rsidP="004175F0">
            <w:pPr>
              <w:ind w:left="0" w:firstLine="567"/>
              <w:jc w:val="center"/>
              <w:rPr>
                <w:b/>
                <w:bCs/>
              </w:rPr>
            </w:pPr>
            <w:r w:rsidRPr="00FD4578">
              <w:rPr>
                <w:b/>
                <w:bCs/>
              </w:rPr>
              <w:t>Lege</w:t>
            </w:r>
          </w:p>
          <w:p w:rsidR="004175F0" w:rsidRPr="00FD4578" w:rsidRDefault="004175F0" w:rsidP="00AB61D7">
            <w:pPr>
              <w:ind w:left="0"/>
              <w:rPr>
                <w:b/>
              </w:rPr>
            </w:pPr>
            <w:r w:rsidRPr="00FD4578">
              <w:rPr>
                <w:b/>
              </w:rPr>
              <w:t>privind unele măsuri</w:t>
            </w:r>
            <w:r w:rsidRPr="00FD4578">
              <w:t xml:space="preserve"> </w:t>
            </w:r>
            <w:r w:rsidRPr="00FD4578">
              <w:rPr>
                <w:b/>
              </w:rPr>
              <w:t>pentru aplicarea de către România a Regulamentului (UE) 2017/1939 al Consiliului din 12 octombrie 2017 de punere în aplicare a unei forme de cooperare consolidată în ceea ce privește instituirea Parchetului European (EPPO)</w:t>
            </w:r>
          </w:p>
        </w:tc>
      </w:tr>
      <w:tr w:rsidR="004175F0" w:rsidRPr="00FD4578" w:rsidTr="004175F0">
        <w:trPr>
          <w:cantSplit/>
          <w:trHeight w:val="468"/>
        </w:trPr>
        <w:tc>
          <w:tcPr>
            <w:tcW w:w="10260" w:type="dxa"/>
            <w:gridSpan w:val="8"/>
          </w:tcPr>
          <w:p w:rsidR="004175F0" w:rsidRPr="00FD4578" w:rsidRDefault="004175F0" w:rsidP="004175F0">
            <w:pPr>
              <w:ind w:left="0"/>
              <w:rPr>
                <w:rFonts w:cs="Arial"/>
                <w:b/>
                <w:snapToGrid w:val="0"/>
              </w:rPr>
            </w:pPr>
          </w:p>
          <w:p w:rsidR="004175F0" w:rsidRPr="00FD4578" w:rsidRDefault="004175F0" w:rsidP="004175F0">
            <w:pPr>
              <w:ind w:left="0"/>
              <w:rPr>
                <w:rFonts w:cs="Arial"/>
                <w:b/>
                <w:snapToGrid w:val="0"/>
              </w:rPr>
            </w:pPr>
            <w:r w:rsidRPr="00FD4578">
              <w:rPr>
                <w:rFonts w:cs="Arial"/>
                <w:b/>
                <w:snapToGrid w:val="0"/>
              </w:rPr>
              <w:t>Secţiunea a 2-a – Motivul emiterii actului normativ</w:t>
            </w:r>
          </w:p>
        </w:tc>
      </w:tr>
      <w:tr w:rsidR="004175F0" w:rsidRPr="00FD4578" w:rsidTr="004175F0">
        <w:tc>
          <w:tcPr>
            <w:tcW w:w="4289" w:type="dxa"/>
            <w:tcBorders>
              <w:right w:val="single" w:sz="4" w:space="0" w:color="auto"/>
            </w:tcBorders>
          </w:tcPr>
          <w:p w:rsidR="004175F0" w:rsidRPr="00FD4578" w:rsidRDefault="004175F0" w:rsidP="004175F0">
            <w:pPr>
              <w:ind w:left="0"/>
              <w:rPr>
                <w:rFonts w:cs="Arial"/>
                <w:snapToGrid w:val="0"/>
              </w:rPr>
            </w:pPr>
            <w:r w:rsidRPr="00FD4578">
              <w:rPr>
                <w:rFonts w:cs="Arial"/>
                <w:snapToGrid w:val="0"/>
              </w:rPr>
              <w:t xml:space="preserve">1. Descrierea situaţiei actuale </w:t>
            </w:r>
          </w:p>
        </w:tc>
        <w:tc>
          <w:tcPr>
            <w:tcW w:w="5971" w:type="dxa"/>
            <w:gridSpan w:val="7"/>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pPr>
            <w:r w:rsidRPr="00FD4578">
              <w:t xml:space="preserve">În Jurnalul Oficial al Uniunii Europene (J.O.U.E.) L 283 din 31.10. 2017 a fost publicat Regulamentul (UE) 2017/1939 al Consiliului din 12 octombrie 2017 de punere în aplicare a unei forme de cooperare consolidată în ceea ce privește instituirea Parchetului European (EPPO), denumit în continuare „Regulamentul privind Parchetul European/EPPO”. </w:t>
            </w:r>
          </w:p>
          <w:p w:rsidR="004175F0" w:rsidRPr="00FD4578" w:rsidRDefault="004175F0" w:rsidP="004175F0">
            <w:pPr>
              <w:ind w:left="0"/>
            </w:pPr>
            <w:r w:rsidRPr="00FD4578">
              <w:t>România este unul dintre statele membre inițiatoare a acestei forme de coop</w:t>
            </w:r>
            <w:r w:rsidR="00094F9F" w:rsidRPr="00FD4578">
              <w:t>erare consolidată și participă la</w:t>
            </w:r>
            <w:r w:rsidRPr="00FD4578">
              <w:t xml:space="preserve"> Parchetul European.</w:t>
            </w:r>
          </w:p>
          <w:p w:rsidR="004175F0" w:rsidRPr="00FD4578" w:rsidRDefault="004175F0" w:rsidP="004175F0">
            <w:pPr>
              <w:ind w:left="0"/>
            </w:pPr>
            <w:r w:rsidRPr="00FD4578">
              <w:t>Regulamentul privind Parchetul European a intrat în vigoare la 20 de zile de la publicarea în J.O.U.E., iar Parchetul European v</w:t>
            </w:r>
            <w:r w:rsidR="001F5DA9" w:rsidRPr="00FD4578">
              <w:t>a efectua primele anchete la trei</w:t>
            </w:r>
            <w:r w:rsidRPr="00FD4578">
              <w:t xml:space="preserve"> ani de la intrarea în vigoare a regulamentului, respectiv începând cu 20 noiembrie 2020. Până la acea dată, EPPO trebuie operaționalizat pe deplin. În acest sens, trebuie avut în vedere că se estimează că procurorul-șef european ar urma să fie numit în cursul anului 2018, în timp ce procurorii europeni și procurorii europeni delegați ar urma să fie numiți în 2019. </w:t>
            </w:r>
          </w:p>
          <w:p w:rsidR="004175F0" w:rsidRPr="00FD4578" w:rsidRDefault="004175F0" w:rsidP="004175F0">
            <w:pPr>
              <w:ind w:left="0"/>
            </w:pPr>
            <w:r w:rsidRPr="00FD4578">
              <w:t xml:space="preserve">Or,  primul semestru al anului 2019 este marcat de Președinția României a Consiliului Uniunii Europene, care și-a asumat printre prioritățile în domeniul justiției penale facilitarea operaționalizării EPPO. </w:t>
            </w:r>
          </w:p>
          <w:p w:rsidR="004175F0" w:rsidRPr="00FD4578" w:rsidRDefault="004175F0" w:rsidP="004175F0">
            <w:pPr>
              <w:ind w:left="0"/>
            </w:pPr>
            <w:r w:rsidRPr="00FD4578">
              <w:lastRenderedPageBreak/>
              <w:t xml:space="preserve">Deși regulamentele </w:t>
            </w:r>
            <w:r w:rsidR="00AB61D7" w:rsidRPr="00FD4578">
              <w:t xml:space="preserve">Uniunii Europene </w:t>
            </w:r>
            <w:r w:rsidRPr="00FD4578">
              <w:t>sunt de directă și imediată aplicare, acest regulament, ca și altele de acest tip, necesită, pentru punerea în aplicare efectivă În România o serie de măsuri legislative și instituționale.</w:t>
            </w:r>
          </w:p>
          <w:p w:rsidR="004175F0" w:rsidRPr="00FD4578" w:rsidRDefault="004175F0" w:rsidP="004175F0">
            <w:pPr>
              <w:ind w:left="0"/>
            </w:pPr>
            <w:r w:rsidRPr="00FD4578">
              <w:t>Cele mai urgente dintre acestea vizează stabilirea procedurilor interne de desemnare a candidaților pentru funcțiile de procuror european și procurori europeni delegați.</w:t>
            </w:r>
          </w:p>
          <w:p w:rsidR="004175F0" w:rsidRPr="00FD4578" w:rsidRDefault="004175F0" w:rsidP="00D755EF">
            <w:pPr>
              <w:ind w:left="0"/>
              <w:rPr>
                <w:rFonts w:cs="Arial"/>
              </w:rPr>
            </w:pPr>
            <w:r w:rsidRPr="00FD4578">
              <w:t>De asemenea, este necesară reglementarea</w:t>
            </w:r>
            <w:r w:rsidR="00D755EF" w:rsidRPr="00FD4578">
              <w:t xml:space="preserve"> statutului acestora din perspectiva legii române</w:t>
            </w:r>
            <w:r w:rsidRPr="00FD4578">
              <w:t>.</w:t>
            </w:r>
          </w:p>
        </w:tc>
      </w:tr>
      <w:tr w:rsidR="004175F0" w:rsidRPr="00FD4578" w:rsidTr="004175F0">
        <w:tc>
          <w:tcPr>
            <w:tcW w:w="4289" w:type="dxa"/>
            <w:tcBorders>
              <w:right w:val="single" w:sz="4" w:space="0" w:color="auto"/>
            </w:tcBorders>
          </w:tcPr>
          <w:p w:rsidR="004175F0" w:rsidRPr="00FD4578" w:rsidRDefault="004175F0" w:rsidP="004175F0">
            <w:pPr>
              <w:ind w:left="0"/>
              <w:rPr>
                <w:rFonts w:cs="Arial"/>
                <w:snapToGrid w:val="0"/>
              </w:rPr>
            </w:pPr>
            <w:r w:rsidRPr="00FD4578">
              <w:rPr>
                <w:rFonts w:cs="Arial"/>
                <w:snapToGrid w:val="0"/>
              </w:rPr>
              <w:lastRenderedPageBreak/>
              <w:t>2. Schimbări preconizate</w:t>
            </w:r>
          </w:p>
        </w:tc>
        <w:tc>
          <w:tcPr>
            <w:tcW w:w="5971" w:type="dxa"/>
            <w:gridSpan w:val="7"/>
            <w:tcBorders>
              <w:top w:val="single" w:sz="4" w:space="0" w:color="auto"/>
              <w:left w:val="single" w:sz="4" w:space="0" w:color="auto"/>
              <w:bottom w:val="single" w:sz="4" w:space="0" w:color="auto"/>
              <w:right w:val="single" w:sz="4" w:space="0" w:color="auto"/>
            </w:tcBorders>
          </w:tcPr>
          <w:p w:rsidR="00C94EEA" w:rsidRPr="00FD4578" w:rsidRDefault="004175F0" w:rsidP="00C94EEA">
            <w:pPr>
              <w:ind w:left="0"/>
            </w:pPr>
            <w:r w:rsidRPr="00FD4578">
              <w:rPr>
                <w:bCs/>
              </w:rPr>
              <w:t xml:space="preserve">   </w:t>
            </w:r>
            <w:r w:rsidR="00C94EEA" w:rsidRPr="00FD4578">
              <w:rPr>
                <w:b/>
              </w:rPr>
              <w:t>i) Se reglementează procedura de desemnare a celor trei candidați din partea României pentru funcția de procuror european</w:t>
            </w:r>
          </w:p>
          <w:p w:rsidR="00C94EEA" w:rsidRPr="00FD4578" w:rsidRDefault="00C94EEA" w:rsidP="00C94EEA">
            <w:pPr>
              <w:ind w:left="360"/>
            </w:pPr>
          </w:p>
          <w:p w:rsidR="00C94EEA" w:rsidRPr="00FD4578" w:rsidRDefault="00094F9F" w:rsidP="00C94EEA">
            <w:pPr>
              <w:ind w:left="0"/>
            </w:pPr>
            <w:r w:rsidRPr="00FD4578">
              <w:t>Potrivit Regulamentului EPPO, f</w:t>
            </w:r>
            <w:r w:rsidR="00C94EEA" w:rsidRPr="00FD4578">
              <w:t xml:space="preserve">iecare stat membru va avea câte un procuror european, care își va desfășura activitatea la sediul central al EPPO, de la Luxemburg. </w:t>
            </w:r>
            <w:r w:rsidR="00C94EEA" w:rsidRPr="00FD4578">
              <w:rPr>
                <w:u w:val="single"/>
              </w:rPr>
              <w:t>Conform art. 16 din Regulamentul EPPO, fiecare stat membru desemnează trei candidați  pentru funcția de procuror european</w:t>
            </w:r>
            <w:r w:rsidR="00C94EEA" w:rsidRPr="00FD4578">
              <w:t xml:space="preserve">, iar numirea unuia dintre aceștia se face de către Consiliul Uniunii Europene, cu majoritate simplă, după primirea avizului motivat al unui juriu de selecție,  pentru un mandat de șase ani, care nu poate fi reînnoit, dar poate fi extins de Consiliu cu maximum trei ani. Prin urmare, </w:t>
            </w:r>
            <w:r w:rsidR="00C94EEA" w:rsidRPr="00FD4578">
              <w:rPr>
                <w:u w:val="single"/>
              </w:rPr>
              <w:t>prin legea română trebuie stabilită procedura de desemnare a celor trei candidați pentru funcția de procuror european din partea României</w:t>
            </w:r>
            <w:r w:rsidR="00C94EEA" w:rsidRPr="00FD4578">
              <w:t>.</w:t>
            </w:r>
          </w:p>
          <w:p w:rsidR="00C94EEA" w:rsidRPr="00FD4578" w:rsidRDefault="00C94EEA" w:rsidP="00C94EEA">
            <w:pPr>
              <w:ind w:left="0"/>
            </w:pPr>
            <w:r w:rsidRPr="00FD4578">
              <w:t xml:space="preserve">Potrivit art. 16 </w:t>
            </w:r>
            <w:r w:rsidR="0053713A" w:rsidRPr="00FD4578">
              <w:t xml:space="preserve">alin.  (1) </w:t>
            </w:r>
            <w:r w:rsidRPr="00FD4578">
              <w:t>din Regulamentul EPPO, candidații pentru funcția de procuror european trebuie să fie a) procurori sau judecători activi ai statului membru relevant; b) să ofere toate garanțiile de independență; c) să dețină calificările necesare pentru numirea în cele mai înalte funcții de la nivelul parchetelor și al instanțelor din statele lor membre și să dispună de experiență practică relevantă în ceea ce privește sistemele juridice naționale, urmărirea infracțiunilor financiare și cooperarea judiciară internațională în materie penală.</w:t>
            </w:r>
          </w:p>
          <w:p w:rsidR="00C94EEA" w:rsidRPr="00FD4578" w:rsidRDefault="00C94EEA" w:rsidP="00C94EEA">
            <w:pPr>
              <w:ind w:left="0"/>
            </w:pPr>
            <w:r w:rsidRPr="00FD4578">
              <w:t xml:space="preserve">Raportat la prevederile Regulamentului EPPO, trebuie stabilită procedura de desemnare de către România celor trei candidați care îndeplinesc cerințele respective. În acest sens, în lumina prevederilor art. 132 din Constituția României, precum și </w:t>
            </w:r>
            <w:r w:rsidR="00D9190B" w:rsidRPr="00FD4578">
              <w:t>coe</w:t>
            </w:r>
            <w:r w:rsidRPr="00FD4578">
              <w:t xml:space="preserve">rent cu soluțiile legislative similare alese în cazul </w:t>
            </w:r>
            <w:r w:rsidR="00D9190B" w:rsidRPr="00FD4578">
              <w:t>numirilor la Biroul român la Eurojust (O</w:t>
            </w:r>
            <w:r w:rsidR="001F5DA9" w:rsidRPr="00FD4578">
              <w:t xml:space="preserve">rdonanța de </w:t>
            </w:r>
            <w:r w:rsidR="00D9190B" w:rsidRPr="00FD4578">
              <w:t>U</w:t>
            </w:r>
            <w:r w:rsidR="001F5DA9" w:rsidRPr="00FD4578">
              <w:t xml:space="preserve">rgență a </w:t>
            </w:r>
            <w:r w:rsidR="00D9190B" w:rsidRPr="00FD4578">
              <w:t>G</w:t>
            </w:r>
            <w:r w:rsidR="001F5DA9" w:rsidRPr="00FD4578">
              <w:t>uvernului</w:t>
            </w:r>
            <w:r w:rsidR="00D9190B" w:rsidRPr="00FD4578">
              <w:t xml:space="preserve"> nr. 123/2007 privind </w:t>
            </w:r>
            <w:r w:rsidR="00D9190B" w:rsidRPr="00FD4578">
              <w:lastRenderedPageBreak/>
              <w:t>unele măsuri pentru consolidarea cooperării judiciare cu statele membre ale Uniunii Europene), soluția legislativă propusă prin prezentul proiect stabilește că desemnarea candidaților se face de către ministrul justiției, în urma unei proceduri transparente. Pe lângă prevederile constituționale în vigoare, un argument suplimentar în sprijinul desemnării de către ministrul justiției a candidaților pentru funcția de procuror european  este însuși faptul că numirea procurorilor europeni se face de către Consiliul JAI, din care face parte ministrul român al justiției.</w:t>
            </w:r>
          </w:p>
          <w:p w:rsidR="0053713A" w:rsidRPr="00FD4578" w:rsidRDefault="0053713A" w:rsidP="00C94EEA">
            <w:pPr>
              <w:ind w:left="0"/>
            </w:pPr>
            <w:r w:rsidRPr="00FD4578">
              <w:t>Ținând seama de prevederile art. 16 alin. (1) lit. c) din Regulamentul EPPO, condiția în vechime pr</w:t>
            </w:r>
            <w:r w:rsidR="00D755EF" w:rsidRPr="00FD4578">
              <w:t>opusă prin prezentul proiect (15/18</w:t>
            </w:r>
            <w:r w:rsidRPr="00FD4578">
              <w:t xml:space="preserve"> ani) este corelată cu cea pentru cele mai înalte funcții judiciare din România. </w:t>
            </w:r>
          </w:p>
          <w:p w:rsidR="00C94EEA" w:rsidRPr="00FD4578" w:rsidRDefault="00C94EEA" w:rsidP="00C94EEA">
            <w:pPr>
              <w:ind w:left="360"/>
            </w:pPr>
          </w:p>
          <w:p w:rsidR="00C94EEA" w:rsidRPr="00FD4578" w:rsidRDefault="00C94EEA" w:rsidP="00C94EEA">
            <w:pPr>
              <w:ind w:left="0"/>
            </w:pPr>
            <w:r w:rsidRPr="00FD4578">
              <w:rPr>
                <w:b/>
              </w:rPr>
              <w:t xml:space="preserve">ii) Procedura de desemnare a procurorilor europeni delegați în România </w:t>
            </w:r>
          </w:p>
          <w:p w:rsidR="00C94EEA" w:rsidRPr="00FD4578" w:rsidRDefault="00C94EEA" w:rsidP="00C94EEA">
            <w:pPr>
              <w:pStyle w:val="ListParagraph"/>
            </w:pPr>
          </w:p>
          <w:p w:rsidR="00C94EEA" w:rsidRPr="00FD4578" w:rsidRDefault="00C94EEA" w:rsidP="00D9190B">
            <w:pPr>
              <w:ind w:left="0"/>
            </w:pPr>
            <w:r w:rsidRPr="00FD4578">
              <w:t>Fiecare stat membru trebuie să desemneze cel puțin doi procurori europeni delegați, care sunt numiți de Colegiul EPPO, la propunerea procurorului-șef european, conform art. 17 din Regulamentul EPPO. Procurorii europeni delegați sunt numiți pentru un mandat de cinci ani, care poate fi reînnoit. Astfel, este necesar ca prin legea internă să se stabilească procedura de desemnare a candidaților pentru funcțiile de procuror europeni delegați în România</w:t>
            </w:r>
            <w:r w:rsidR="00D9190B" w:rsidRPr="00FD4578">
              <w:t>.</w:t>
            </w:r>
          </w:p>
          <w:p w:rsidR="00D9190B" w:rsidRPr="00FD4578" w:rsidRDefault="00D9190B" w:rsidP="00D9190B">
            <w:pPr>
              <w:ind w:left="0"/>
            </w:pPr>
            <w:r w:rsidRPr="00FD4578">
              <w:t>Soluția legislativă propusă are în vedere, în mare măsură, aceleași argumente</w:t>
            </w:r>
            <w:r w:rsidR="001F5DA9" w:rsidRPr="00FD4578">
              <w:t xml:space="preserve"> ca în cazul procurorilor europeni</w:t>
            </w:r>
            <w:r w:rsidRPr="00FD4578">
              <w:t>, dar ține seama și de specificul funcției de procuror european delegat.</w:t>
            </w:r>
          </w:p>
          <w:p w:rsidR="00C94EEA" w:rsidRPr="00FD4578" w:rsidRDefault="00C94EEA" w:rsidP="00C94EEA">
            <w:pPr>
              <w:ind w:left="0"/>
              <w:rPr>
                <w:b/>
              </w:rPr>
            </w:pPr>
            <w:r w:rsidRPr="00FD4578">
              <w:rPr>
                <w:b/>
              </w:rPr>
              <w:t>iii)</w:t>
            </w:r>
            <w:r w:rsidRPr="00FD4578">
              <w:t xml:space="preserve"> </w:t>
            </w:r>
            <w:r w:rsidR="00AA0F30" w:rsidRPr="00FD4578">
              <w:rPr>
                <w:b/>
              </w:rPr>
              <w:t>A</w:t>
            </w:r>
            <w:r w:rsidRPr="00FD4578">
              <w:rPr>
                <w:b/>
              </w:rPr>
              <w:t>lte aspecte privind statutul procurorilor și judecători</w:t>
            </w:r>
            <w:r w:rsidR="006834CE" w:rsidRPr="00FD4578">
              <w:rPr>
                <w:b/>
              </w:rPr>
              <w:t>lor români care ar ocupa funcțiile</w:t>
            </w:r>
            <w:r w:rsidRPr="00FD4578">
              <w:rPr>
                <w:b/>
              </w:rPr>
              <w:t xml:space="preserve"> de </w:t>
            </w:r>
            <w:r w:rsidR="006834CE" w:rsidRPr="00FD4578">
              <w:rPr>
                <w:b/>
              </w:rPr>
              <w:t xml:space="preserve">                 </w:t>
            </w:r>
            <w:r w:rsidR="00AA0F30" w:rsidRPr="00FD4578">
              <w:rPr>
                <w:b/>
              </w:rPr>
              <w:t xml:space="preserve">procuror-șef european sau procuror-șef adjunct european, procuror european și </w:t>
            </w:r>
            <w:r w:rsidRPr="00FD4578">
              <w:rPr>
                <w:b/>
              </w:rPr>
              <w:t xml:space="preserve"> pr</w:t>
            </w:r>
            <w:r w:rsidR="00AA0F30" w:rsidRPr="00FD4578">
              <w:rPr>
                <w:b/>
              </w:rPr>
              <w:t xml:space="preserve">ocuror european delegat. </w:t>
            </w:r>
          </w:p>
          <w:p w:rsidR="00C94EEA" w:rsidRPr="00FD4578" w:rsidRDefault="00C94EEA" w:rsidP="00C94EEA">
            <w:pPr>
              <w:ind w:left="360"/>
            </w:pPr>
          </w:p>
          <w:p w:rsidR="00AA0F30" w:rsidRPr="00FD4578" w:rsidRDefault="00810CE9" w:rsidP="00AA0F30">
            <w:pPr>
              <w:ind w:left="0"/>
            </w:pPr>
            <w:r w:rsidRPr="00FD4578">
              <w:t xml:space="preserve">Conform art. 96 alin. (1) din Regulamentul EPPO </w:t>
            </w:r>
            <w:r w:rsidR="00AA0F30" w:rsidRPr="00FD4578">
              <w:t>Procuro</w:t>
            </w:r>
            <w:r w:rsidR="00094F9F" w:rsidRPr="00FD4578">
              <w:t>rul-șef european și procuro</w:t>
            </w:r>
            <w:r w:rsidR="00AA0F30" w:rsidRPr="00FD4578">
              <w:t>rii europeni vor fi</w:t>
            </w:r>
            <w:r w:rsidRPr="00FD4578">
              <w:t xml:space="preserve"> angajați ca</w:t>
            </w:r>
            <w:r w:rsidR="00AA0F30" w:rsidRPr="00FD4578">
              <w:t xml:space="preserve"> </w:t>
            </w:r>
            <w:r w:rsidRPr="00FD4578">
              <w:t>agenți temporari ai EPPO</w:t>
            </w:r>
            <w:r w:rsidR="00AA0F30" w:rsidRPr="00FD4578">
              <w:t xml:space="preserve">. În acest sens, este necesară reglementarea </w:t>
            </w:r>
            <w:r w:rsidR="00B1425B" w:rsidRPr="00FD4578">
              <w:t>situației p</w:t>
            </w:r>
            <w:r w:rsidR="00AA0F30" w:rsidRPr="00FD4578">
              <w:t>rocuror</w:t>
            </w:r>
            <w:r w:rsidR="00B1425B" w:rsidRPr="00FD4578">
              <w:t>ului</w:t>
            </w:r>
            <w:r w:rsidR="00AA0F30" w:rsidRPr="00FD4578">
              <w:t xml:space="preserve"> sau judecător român pe durata mandatului de procuror european și, respectiv, pe durata mandatului de procuror-</w:t>
            </w:r>
            <w:r w:rsidR="00AA0F30" w:rsidRPr="00FD4578">
              <w:lastRenderedPageBreak/>
              <w:t>șef european și procuror-șef european adjunct.</w:t>
            </w:r>
            <w:r w:rsidR="00B1425B" w:rsidRPr="00FD4578">
              <w:t xml:space="preserve"> În acest sens, soluția legislativă propusă este identică cu cea care se regăsește la articolul 33 alin. (15) din Legea nr. 303/2004 privind statutul judecătorilor și procurorilor, republicată (aplicabilă judecătorilor și procurorilor numiți în funcția de judecător la Curtea Constituțională).</w:t>
            </w:r>
          </w:p>
          <w:p w:rsidR="004175F0" w:rsidRPr="00FD4578" w:rsidRDefault="00AA0F30" w:rsidP="00B1425B">
            <w:pPr>
              <w:ind w:left="0"/>
              <w:rPr>
                <w:bCs/>
              </w:rPr>
            </w:pPr>
            <w:r w:rsidRPr="00FD4578">
              <w:t>Pe de altă parte, unul din elementele de noutate aduse de Regulamentul EPPO este și acela că</w:t>
            </w:r>
            <w:r w:rsidR="00810CE9" w:rsidRPr="00FD4578">
              <w:t xml:space="preserve">, potrivit art. 96                  alin. (6) din Regulamentul EPPO, </w:t>
            </w:r>
            <w:r w:rsidRPr="00FD4578">
              <w:t xml:space="preserve"> procurorii europeni delegați </w:t>
            </w:r>
            <w:r w:rsidR="007E22E0" w:rsidRPr="00FD4578">
              <w:t>nu vor fi</w:t>
            </w:r>
            <w:r w:rsidRPr="00FD4578">
              <w:t xml:space="preserve"> numai magistrați naționali, cum este cazul membrilor naționali la Eurojust, ci </w:t>
            </w:r>
            <w:r w:rsidR="00810CE9" w:rsidRPr="00FD4578">
              <w:t xml:space="preserve">vor fi </w:t>
            </w:r>
            <w:r w:rsidRPr="00FD4578">
              <w:t xml:space="preserve">și </w:t>
            </w:r>
            <w:r w:rsidR="00094F9F" w:rsidRPr="00FD4578">
              <w:t xml:space="preserve">consultanți speciali ai EPPO, </w:t>
            </w:r>
            <w:r w:rsidRPr="00FD4578">
              <w:t>ceea ce implică reglementarea expresă</w:t>
            </w:r>
            <w:r w:rsidR="00B1425B" w:rsidRPr="00FD4578">
              <w:t xml:space="preserve"> în legea internă a faptului că, în conformitate cu prevederile </w:t>
            </w:r>
            <w:r w:rsidRPr="00FD4578">
              <w:t>Regulamentul</w:t>
            </w:r>
            <w:r w:rsidR="00B1425B" w:rsidRPr="00FD4578">
              <w:t>ui</w:t>
            </w:r>
            <w:r w:rsidRPr="00FD4578">
              <w:t xml:space="preserve"> EPPO</w:t>
            </w:r>
            <w:r w:rsidR="00B1425B" w:rsidRPr="00FD4578">
              <w:t>,</w:t>
            </w:r>
            <w:r w:rsidRPr="00FD4578">
              <w:t xml:space="preserve"> prevede că procurorul european delegat poate îndeplini în același timp ș</w:t>
            </w:r>
            <w:r w:rsidR="00B1425B" w:rsidRPr="00FD4578">
              <w:t xml:space="preserve">i funcția de procuror </w:t>
            </w:r>
            <w:r w:rsidRPr="00FD4578">
              <w:t xml:space="preserve">național. </w:t>
            </w:r>
            <w:r w:rsidR="00D755EF" w:rsidRPr="00FD4578">
              <w:t xml:space="preserve">În acest sens, pentru a stabili conformitatea cu Constituția României a  prevederilor propuse,  sunt relevante dispozițiile articolului 148 alin. (2) din Constituția României, republicată. </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lastRenderedPageBreak/>
              <w:t>3. Alte informaţii</w:t>
            </w:r>
          </w:p>
        </w:tc>
        <w:tc>
          <w:tcPr>
            <w:tcW w:w="5971" w:type="dxa"/>
            <w:gridSpan w:val="7"/>
          </w:tcPr>
          <w:p w:rsidR="004175F0" w:rsidRPr="00FD4578" w:rsidRDefault="004175F0" w:rsidP="004175F0">
            <w:pPr>
              <w:ind w:left="0"/>
              <w:rPr>
                <w:rFonts w:cs="Arial"/>
              </w:rPr>
            </w:pPr>
          </w:p>
        </w:tc>
      </w:tr>
      <w:tr w:rsidR="004175F0" w:rsidRPr="00FD4578" w:rsidTr="004175F0">
        <w:tc>
          <w:tcPr>
            <w:tcW w:w="10260" w:type="dxa"/>
            <w:gridSpan w:val="8"/>
          </w:tcPr>
          <w:p w:rsidR="004175F0" w:rsidRPr="00FD4578" w:rsidRDefault="004175F0" w:rsidP="004175F0">
            <w:pPr>
              <w:ind w:left="0"/>
              <w:rPr>
                <w:rFonts w:cs="Arial"/>
                <w:b/>
                <w:snapToGrid w:val="0"/>
              </w:rPr>
            </w:pPr>
            <w:r w:rsidRPr="00FD4578">
              <w:rPr>
                <w:rFonts w:cs="Arial"/>
                <w:b/>
                <w:snapToGrid w:val="0"/>
              </w:rPr>
              <w:t>Secţiunea a 3-a – Impactul socioeconomic al proiectului de act normativ</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t>1. Impactul macroeconomic</w:t>
            </w:r>
          </w:p>
        </w:tc>
        <w:tc>
          <w:tcPr>
            <w:tcW w:w="5971" w:type="dxa"/>
            <w:gridSpan w:val="7"/>
          </w:tcPr>
          <w:p w:rsidR="004175F0" w:rsidRPr="00FD4578" w:rsidRDefault="004175F0" w:rsidP="004175F0">
            <w:pPr>
              <w:ind w:left="0"/>
              <w:rPr>
                <w:rFonts w:cs="Arial"/>
              </w:rPr>
            </w:pPr>
            <w:r w:rsidRPr="00FD4578">
              <w:rPr>
                <w:rFonts w:cs="Arial"/>
              </w:rPr>
              <w:t xml:space="preserve">Nu este cazul. </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t>1</w:t>
            </w:r>
            <w:r w:rsidRPr="00FD4578">
              <w:rPr>
                <w:rFonts w:cs="Arial"/>
                <w:snapToGrid w:val="0"/>
                <w:vertAlign w:val="superscript"/>
              </w:rPr>
              <w:t>1</w:t>
            </w:r>
            <w:r w:rsidRPr="00FD4578">
              <w:rPr>
                <w:rFonts w:cs="Arial"/>
                <w:snapToGrid w:val="0"/>
              </w:rPr>
              <w:t>. Impactul asupra mediului concurențial și domeniului ajutoarelor de stat</w:t>
            </w:r>
          </w:p>
        </w:tc>
        <w:tc>
          <w:tcPr>
            <w:tcW w:w="5971" w:type="dxa"/>
            <w:gridSpan w:val="7"/>
          </w:tcPr>
          <w:p w:rsidR="004175F0" w:rsidRPr="00FD4578" w:rsidRDefault="004175F0" w:rsidP="004175F0">
            <w:pPr>
              <w:ind w:left="0"/>
              <w:rPr>
                <w:rFonts w:cs="Arial"/>
              </w:rPr>
            </w:pPr>
            <w:r w:rsidRPr="00FD4578">
              <w:rPr>
                <w:rFonts w:cs="Arial"/>
              </w:rPr>
              <w:t xml:space="preserve">Nu este cazul </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t>2. Impactul asupra mediului afaceri</w:t>
            </w:r>
          </w:p>
        </w:tc>
        <w:tc>
          <w:tcPr>
            <w:tcW w:w="5971" w:type="dxa"/>
            <w:gridSpan w:val="7"/>
          </w:tcPr>
          <w:p w:rsidR="004175F0" w:rsidRPr="00FD4578" w:rsidRDefault="004175F0" w:rsidP="004175F0">
            <w:pPr>
              <w:ind w:left="0"/>
              <w:rPr>
                <w:rFonts w:cs="Arial"/>
              </w:rPr>
            </w:pPr>
            <w:r w:rsidRPr="00FD4578">
              <w:rPr>
                <w:rFonts w:cs="Arial"/>
              </w:rPr>
              <w:t xml:space="preserve">Nu este cazul </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t>3. Impactul social</w:t>
            </w:r>
          </w:p>
        </w:tc>
        <w:tc>
          <w:tcPr>
            <w:tcW w:w="5971" w:type="dxa"/>
            <w:gridSpan w:val="7"/>
          </w:tcPr>
          <w:p w:rsidR="004175F0" w:rsidRPr="00FD4578" w:rsidRDefault="004175F0" w:rsidP="004175F0">
            <w:pPr>
              <w:ind w:left="0"/>
              <w:rPr>
                <w:rFonts w:cs="Arial"/>
              </w:rPr>
            </w:pPr>
            <w:r w:rsidRPr="00FD4578">
              <w:rPr>
                <w:rFonts w:cs="Arial"/>
              </w:rPr>
              <w:t>Nu este cazul</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t>4. Impactul asupra mediului</w:t>
            </w:r>
          </w:p>
        </w:tc>
        <w:tc>
          <w:tcPr>
            <w:tcW w:w="5971" w:type="dxa"/>
            <w:gridSpan w:val="7"/>
          </w:tcPr>
          <w:p w:rsidR="004175F0" w:rsidRPr="00FD4578" w:rsidRDefault="004175F0" w:rsidP="004175F0">
            <w:pPr>
              <w:ind w:left="0"/>
              <w:rPr>
                <w:rFonts w:cs="Arial"/>
              </w:rPr>
            </w:pPr>
            <w:r w:rsidRPr="00FD4578">
              <w:rPr>
                <w:rFonts w:cs="Arial"/>
              </w:rPr>
              <w:t>Nu este cazul</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t>5. Alte informaţii</w:t>
            </w:r>
          </w:p>
        </w:tc>
        <w:tc>
          <w:tcPr>
            <w:tcW w:w="5971" w:type="dxa"/>
            <w:gridSpan w:val="7"/>
          </w:tcPr>
          <w:p w:rsidR="004175F0" w:rsidRPr="00FD4578" w:rsidRDefault="004175F0" w:rsidP="004175F0">
            <w:pPr>
              <w:ind w:left="0"/>
              <w:rPr>
                <w:rFonts w:cs="Arial"/>
              </w:rPr>
            </w:pPr>
          </w:p>
        </w:tc>
      </w:tr>
      <w:tr w:rsidR="004175F0" w:rsidRPr="00FD4578" w:rsidTr="004175F0">
        <w:tc>
          <w:tcPr>
            <w:tcW w:w="10260" w:type="dxa"/>
            <w:gridSpan w:val="8"/>
          </w:tcPr>
          <w:p w:rsidR="004175F0" w:rsidRPr="00FD4578" w:rsidRDefault="004175F0" w:rsidP="004175F0">
            <w:pPr>
              <w:autoSpaceDE w:val="0"/>
              <w:autoSpaceDN w:val="0"/>
              <w:adjustRightInd w:val="0"/>
              <w:ind w:left="0"/>
              <w:rPr>
                <w:rFonts w:cs="Arial"/>
                <w:b/>
                <w:snapToGrid w:val="0"/>
              </w:rPr>
            </w:pPr>
            <w:r w:rsidRPr="00FD4578">
              <w:rPr>
                <w:rFonts w:cs="Arial"/>
                <w:b/>
                <w:snapToGrid w:val="0"/>
              </w:rPr>
              <w:t>Secţiunea a 4-a – Impactul financiar asupra bugetului general consolidat, atât pe termen scurt, pentru anul curent, cât şi pe termen lung (5 ani).</w:t>
            </w:r>
          </w:p>
        </w:tc>
      </w:tr>
      <w:tr w:rsidR="004175F0" w:rsidRPr="00FD4578" w:rsidTr="004175F0">
        <w:tc>
          <w:tcPr>
            <w:tcW w:w="10260" w:type="dxa"/>
            <w:gridSpan w:val="8"/>
          </w:tcPr>
          <w:p w:rsidR="004175F0" w:rsidRPr="00FD4578" w:rsidRDefault="004175F0" w:rsidP="004175F0">
            <w:pPr>
              <w:ind w:left="0"/>
              <w:jc w:val="right"/>
              <w:rPr>
                <w:rFonts w:cs="Arial"/>
                <w:snapToGrid w:val="0"/>
              </w:rPr>
            </w:pPr>
            <w:r w:rsidRPr="00FD4578">
              <w:rPr>
                <w:rFonts w:cs="Arial"/>
                <w:snapToGrid w:val="0"/>
              </w:rPr>
              <w:t>- mii lei -</w:t>
            </w:r>
          </w:p>
        </w:tc>
      </w:tr>
      <w:tr w:rsidR="004175F0" w:rsidRPr="00FD4578" w:rsidTr="004175F0">
        <w:tc>
          <w:tcPr>
            <w:tcW w:w="4320" w:type="dxa"/>
            <w:gridSpan w:val="2"/>
          </w:tcPr>
          <w:p w:rsidR="004175F0" w:rsidRPr="00FD4578" w:rsidRDefault="004175F0" w:rsidP="004175F0">
            <w:pPr>
              <w:ind w:left="0"/>
              <w:jc w:val="center"/>
              <w:rPr>
                <w:rFonts w:cs="Arial"/>
                <w:snapToGrid w:val="0"/>
              </w:rPr>
            </w:pPr>
            <w:r w:rsidRPr="00FD4578">
              <w:rPr>
                <w:rFonts w:cs="Arial"/>
                <w:snapToGrid w:val="0"/>
              </w:rPr>
              <w:t>Indicatori</w:t>
            </w:r>
          </w:p>
        </w:tc>
        <w:tc>
          <w:tcPr>
            <w:tcW w:w="1350" w:type="dxa"/>
            <w:shd w:val="clear" w:color="auto" w:fill="auto"/>
          </w:tcPr>
          <w:p w:rsidR="004175F0" w:rsidRPr="00FD4578" w:rsidRDefault="004175F0" w:rsidP="004175F0">
            <w:pPr>
              <w:ind w:left="0"/>
              <w:jc w:val="center"/>
              <w:rPr>
                <w:rFonts w:cs="Arial"/>
              </w:rPr>
            </w:pPr>
            <w:r w:rsidRPr="00FD4578">
              <w:rPr>
                <w:rFonts w:cs="Arial"/>
              </w:rPr>
              <w:t>Anul curent</w:t>
            </w:r>
          </w:p>
          <w:p w:rsidR="004175F0" w:rsidRPr="00FD4578" w:rsidRDefault="004175F0" w:rsidP="004175F0">
            <w:pPr>
              <w:ind w:left="0"/>
              <w:jc w:val="center"/>
              <w:rPr>
                <w:rFonts w:cs="Arial"/>
              </w:rPr>
            </w:pPr>
          </w:p>
        </w:tc>
        <w:tc>
          <w:tcPr>
            <w:tcW w:w="3780" w:type="dxa"/>
            <w:gridSpan w:val="4"/>
            <w:shd w:val="clear" w:color="auto" w:fill="auto"/>
          </w:tcPr>
          <w:p w:rsidR="004175F0" w:rsidRPr="00FD4578" w:rsidRDefault="004175F0" w:rsidP="004175F0">
            <w:pPr>
              <w:ind w:left="0"/>
              <w:jc w:val="center"/>
              <w:rPr>
                <w:rFonts w:cs="Arial"/>
              </w:rPr>
            </w:pPr>
            <w:r w:rsidRPr="00FD4578">
              <w:rPr>
                <w:rFonts w:cs="Arial"/>
              </w:rPr>
              <w:t>Următorii 4 ani</w:t>
            </w:r>
          </w:p>
        </w:tc>
        <w:tc>
          <w:tcPr>
            <w:tcW w:w="810" w:type="dxa"/>
            <w:shd w:val="clear" w:color="auto" w:fill="auto"/>
          </w:tcPr>
          <w:p w:rsidR="004175F0" w:rsidRPr="00FD4578" w:rsidRDefault="004175F0" w:rsidP="004175F0">
            <w:pPr>
              <w:ind w:left="0"/>
              <w:jc w:val="center"/>
              <w:rPr>
                <w:rFonts w:cs="Arial"/>
              </w:rPr>
            </w:pPr>
            <w:r w:rsidRPr="00FD4578">
              <w:rPr>
                <w:rFonts w:cs="Arial"/>
              </w:rPr>
              <w:t>Media pe 5 ani</w:t>
            </w:r>
          </w:p>
        </w:tc>
      </w:tr>
      <w:tr w:rsidR="004175F0" w:rsidRPr="00FD4578" w:rsidTr="004175F0">
        <w:tc>
          <w:tcPr>
            <w:tcW w:w="4320" w:type="dxa"/>
            <w:gridSpan w:val="2"/>
          </w:tcPr>
          <w:p w:rsidR="004175F0" w:rsidRPr="00FD4578" w:rsidRDefault="004175F0" w:rsidP="004175F0">
            <w:pPr>
              <w:ind w:left="0"/>
              <w:jc w:val="center"/>
              <w:rPr>
                <w:rFonts w:cs="Arial"/>
                <w:snapToGrid w:val="0"/>
              </w:rPr>
            </w:pPr>
            <w:r w:rsidRPr="00FD4578">
              <w:rPr>
                <w:rFonts w:cs="Arial"/>
                <w:snapToGrid w:val="0"/>
              </w:rPr>
              <w:t>1</w:t>
            </w:r>
          </w:p>
        </w:tc>
        <w:tc>
          <w:tcPr>
            <w:tcW w:w="1350" w:type="dxa"/>
            <w:shd w:val="clear" w:color="auto" w:fill="auto"/>
          </w:tcPr>
          <w:p w:rsidR="004175F0" w:rsidRPr="00FD4578" w:rsidRDefault="004175F0" w:rsidP="004175F0">
            <w:pPr>
              <w:ind w:left="0"/>
              <w:jc w:val="center"/>
              <w:rPr>
                <w:rFonts w:cs="Arial"/>
              </w:rPr>
            </w:pPr>
            <w:r w:rsidRPr="00FD4578">
              <w:rPr>
                <w:rFonts w:cs="Arial"/>
              </w:rPr>
              <w:t>2</w:t>
            </w:r>
          </w:p>
          <w:p w:rsidR="004175F0" w:rsidRPr="00FD4578" w:rsidRDefault="004175F0" w:rsidP="004175F0">
            <w:pPr>
              <w:ind w:left="0"/>
              <w:jc w:val="center"/>
              <w:rPr>
                <w:rFonts w:cs="Arial"/>
              </w:rPr>
            </w:pPr>
            <w:r w:rsidRPr="00FD4578">
              <w:rPr>
                <w:rFonts w:cs="Arial"/>
              </w:rPr>
              <w:t>2018</w:t>
            </w:r>
          </w:p>
        </w:tc>
        <w:tc>
          <w:tcPr>
            <w:tcW w:w="1080" w:type="dxa"/>
            <w:shd w:val="clear" w:color="auto" w:fill="auto"/>
          </w:tcPr>
          <w:p w:rsidR="004175F0" w:rsidRPr="00FD4578" w:rsidRDefault="004175F0" w:rsidP="004175F0">
            <w:pPr>
              <w:ind w:left="0"/>
              <w:jc w:val="center"/>
              <w:rPr>
                <w:rFonts w:cs="Arial"/>
              </w:rPr>
            </w:pPr>
            <w:r w:rsidRPr="00FD4578">
              <w:rPr>
                <w:rFonts w:cs="Arial"/>
              </w:rPr>
              <w:t>3</w:t>
            </w:r>
          </w:p>
          <w:p w:rsidR="004175F0" w:rsidRPr="00FD4578" w:rsidRDefault="004175F0" w:rsidP="004175F0">
            <w:pPr>
              <w:ind w:left="0"/>
              <w:jc w:val="center"/>
              <w:rPr>
                <w:rFonts w:cs="Arial"/>
              </w:rPr>
            </w:pPr>
            <w:r w:rsidRPr="00FD4578">
              <w:rPr>
                <w:rFonts w:cs="Arial"/>
              </w:rPr>
              <w:t>2019</w:t>
            </w:r>
          </w:p>
        </w:tc>
        <w:tc>
          <w:tcPr>
            <w:tcW w:w="900" w:type="dxa"/>
            <w:shd w:val="clear" w:color="auto" w:fill="auto"/>
          </w:tcPr>
          <w:p w:rsidR="004175F0" w:rsidRPr="00FD4578" w:rsidRDefault="004175F0" w:rsidP="004175F0">
            <w:pPr>
              <w:ind w:left="0"/>
              <w:jc w:val="center"/>
              <w:rPr>
                <w:rFonts w:cs="Arial"/>
              </w:rPr>
            </w:pPr>
            <w:r w:rsidRPr="00FD4578">
              <w:rPr>
                <w:rFonts w:cs="Arial"/>
              </w:rPr>
              <w:t>4</w:t>
            </w:r>
          </w:p>
          <w:p w:rsidR="004175F0" w:rsidRPr="00FD4578" w:rsidRDefault="004175F0" w:rsidP="004175F0">
            <w:pPr>
              <w:ind w:left="0"/>
              <w:jc w:val="center"/>
              <w:rPr>
                <w:rFonts w:cs="Arial"/>
              </w:rPr>
            </w:pPr>
            <w:r w:rsidRPr="00FD4578">
              <w:rPr>
                <w:rFonts w:cs="Arial"/>
              </w:rPr>
              <w:t>2020</w:t>
            </w:r>
          </w:p>
        </w:tc>
        <w:tc>
          <w:tcPr>
            <w:tcW w:w="900" w:type="dxa"/>
            <w:shd w:val="clear" w:color="auto" w:fill="auto"/>
          </w:tcPr>
          <w:p w:rsidR="004175F0" w:rsidRPr="00FD4578" w:rsidRDefault="004175F0" w:rsidP="004175F0">
            <w:pPr>
              <w:ind w:left="0"/>
              <w:jc w:val="center"/>
              <w:rPr>
                <w:rFonts w:cs="Arial"/>
              </w:rPr>
            </w:pPr>
            <w:r w:rsidRPr="00FD4578">
              <w:rPr>
                <w:rFonts w:cs="Arial"/>
              </w:rPr>
              <w:t>5</w:t>
            </w:r>
          </w:p>
          <w:p w:rsidR="004175F0" w:rsidRPr="00FD4578" w:rsidRDefault="004175F0" w:rsidP="004175F0">
            <w:pPr>
              <w:ind w:left="0"/>
              <w:jc w:val="center"/>
              <w:rPr>
                <w:rFonts w:cs="Arial"/>
              </w:rPr>
            </w:pPr>
            <w:r w:rsidRPr="00FD4578">
              <w:rPr>
                <w:rFonts w:cs="Arial"/>
              </w:rPr>
              <w:t>2021</w:t>
            </w:r>
          </w:p>
        </w:tc>
        <w:tc>
          <w:tcPr>
            <w:tcW w:w="900" w:type="dxa"/>
            <w:shd w:val="clear" w:color="auto" w:fill="auto"/>
          </w:tcPr>
          <w:p w:rsidR="004175F0" w:rsidRPr="00FD4578" w:rsidRDefault="004175F0" w:rsidP="004175F0">
            <w:pPr>
              <w:ind w:left="0"/>
              <w:jc w:val="center"/>
              <w:rPr>
                <w:rFonts w:cs="Arial"/>
              </w:rPr>
            </w:pPr>
            <w:r w:rsidRPr="00FD4578">
              <w:rPr>
                <w:rFonts w:cs="Arial"/>
              </w:rPr>
              <w:t>6</w:t>
            </w:r>
          </w:p>
          <w:p w:rsidR="004175F0" w:rsidRPr="00FD4578" w:rsidRDefault="004175F0" w:rsidP="004175F0">
            <w:pPr>
              <w:ind w:left="0"/>
              <w:jc w:val="center"/>
              <w:rPr>
                <w:rFonts w:cs="Arial"/>
              </w:rPr>
            </w:pPr>
            <w:r w:rsidRPr="00FD4578">
              <w:rPr>
                <w:rFonts w:cs="Arial"/>
              </w:rPr>
              <w:t>2022</w:t>
            </w:r>
          </w:p>
        </w:tc>
        <w:tc>
          <w:tcPr>
            <w:tcW w:w="810" w:type="dxa"/>
            <w:shd w:val="clear" w:color="auto" w:fill="auto"/>
          </w:tcPr>
          <w:p w:rsidR="004175F0" w:rsidRPr="00FD4578" w:rsidRDefault="004175F0" w:rsidP="004175F0">
            <w:pPr>
              <w:ind w:left="0"/>
              <w:jc w:val="center"/>
              <w:rPr>
                <w:rFonts w:cs="Arial"/>
              </w:rPr>
            </w:pPr>
            <w:r w:rsidRPr="00FD4578">
              <w:rPr>
                <w:rFonts w:cs="Arial"/>
              </w:rPr>
              <w:t>7</w:t>
            </w: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1. Modificări ale veniturilor bugetare, plus/minus, din care:</w:t>
            </w:r>
          </w:p>
        </w:tc>
        <w:tc>
          <w:tcPr>
            <w:tcW w:w="5940" w:type="dxa"/>
            <w:gridSpan w:val="6"/>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lastRenderedPageBreak/>
              <w:t>a) buget de stat, din acesta:</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 impozit pe profit</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(ii) impozit pe venit</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b) bugete locale:</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 impozit pe profit</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c) bugetul asigurărilor sociale de stat:</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 contribuţii de asigurări</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2. Modificări ale cheltuielilor bugetare, plus/minus, din care:</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a) buget de stat, din acesta:</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 cheltuieli de personal</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(ii) bunuri şi servicii</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b) bugete locale</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 cheltuieli de personal</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(ii) bunuri şi servicii</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c) bugetul asigurărilor sociale de stat:</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 cheltuieli de personal</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(ii) bunuri şi servicii</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3. Impact financiar, plus/minus, din care:</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a) buget de stat</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(i) cheltuieli de personal</w:t>
            </w:r>
          </w:p>
        </w:tc>
        <w:tc>
          <w:tcPr>
            <w:tcW w:w="135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90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b) bugetele locale</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4. Propuneri pentru acoperirea creşterii cheltuielilor bugetare</w:t>
            </w:r>
          </w:p>
        </w:tc>
        <w:tc>
          <w:tcPr>
            <w:tcW w:w="5940" w:type="dxa"/>
            <w:gridSpan w:val="6"/>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5. Propuneri pentru a compensa reducerea veniturilor bugetare</w:t>
            </w:r>
          </w:p>
        </w:tc>
        <w:tc>
          <w:tcPr>
            <w:tcW w:w="1350" w:type="dxa"/>
            <w:shd w:val="clear" w:color="auto" w:fill="auto"/>
          </w:tcPr>
          <w:p w:rsidR="004175F0" w:rsidRPr="00FD4578" w:rsidRDefault="004175F0" w:rsidP="004175F0">
            <w:pPr>
              <w:ind w:left="0"/>
              <w:jc w:val="center"/>
              <w:rPr>
                <w:rFonts w:cs="Arial"/>
              </w:rPr>
            </w:pPr>
          </w:p>
        </w:tc>
        <w:tc>
          <w:tcPr>
            <w:tcW w:w="108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900" w:type="dxa"/>
            <w:shd w:val="clear" w:color="auto" w:fill="auto"/>
          </w:tcPr>
          <w:p w:rsidR="004175F0" w:rsidRPr="00FD4578" w:rsidRDefault="004175F0" w:rsidP="004175F0">
            <w:pPr>
              <w:ind w:left="0"/>
              <w:jc w:val="center"/>
              <w:rPr>
                <w:rFonts w:cs="Arial"/>
              </w:rPr>
            </w:pPr>
          </w:p>
        </w:tc>
        <w:tc>
          <w:tcPr>
            <w:tcW w:w="810" w:type="dxa"/>
            <w:shd w:val="clear" w:color="auto" w:fill="auto"/>
          </w:tcPr>
          <w:p w:rsidR="004175F0" w:rsidRPr="00FD4578" w:rsidRDefault="004175F0" w:rsidP="004175F0">
            <w:pPr>
              <w:ind w:left="0"/>
              <w:jc w:val="center"/>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6. Calcule detaliate privind fundamentarea modificărilor veniturilor şi/sau cheltuielilor bugetare</w:t>
            </w:r>
          </w:p>
        </w:tc>
        <w:tc>
          <w:tcPr>
            <w:tcW w:w="5940" w:type="dxa"/>
            <w:gridSpan w:val="6"/>
            <w:shd w:val="clear" w:color="auto" w:fill="auto"/>
          </w:tcPr>
          <w:p w:rsidR="004175F0" w:rsidRPr="00FD4578" w:rsidRDefault="004175F0" w:rsidP="004175F0">
            <w:pPr>
              <w:pStyle w:val="ListParagraph"/>
              <w:ind w:left="0"/>
              <w:rPr>
                <w:rFonts w:cs="Arial"/>
              </w:rPr>
            </w:pPr>
          </w:p>
        </w:tc>
      </w:tr>
      <w:tr w:rsidR="004175F0" w:rsidRPr="00FD4578" w:rsidTr="004175F0">
        <w:tc>
          <w:tcPr>
            <w:tcW w:w="4320" w:type="dxa"/>
            <w:gridSpan w:val="2"/>
          </w:tcPr>
          <w:p w:rsidR="004175F0" w:rsidRPr="00FD4578" w:rsidRDefault="004175F0" w:rsidP="004175F0">
            <w:pPr>
              <w:ind w:left="0"/>
              <w:rPr>
                <w:rFonts w:cs="Arial"/>
                <w:snapToGrid w:val="0"/>
              </w:rPr>
            </w:pPr>
            <w:r w:rsidRPr="00FD4578">
              <w:rPr>
                <w:rFonts w:cs="Arial"/>
                <w:snapToGrid w:val="0"/>
              </w:rPr>
              <w:t>7 Alte informații</w:t>
            </w:r>
          </w:p>
        </w:tc>
        <w:tc>
          <w:tcPr>
            <w:tcW w:w="5940" w:type="dxa"/>
            <w:gridSpan w:val="6"/>
            <w:shd w:val="clear" w:color="auto" w:fill="auto"/>
          </w:tcPr>
          <w:p w:rsidR="004175F0" w:rsidRPr="00FD4578" w:rsidRDefault="004175F0" w:rsidP="004175F0">
            <w:pPr>
              <w:ind w:left="0"/>
              <w:rPr>
                <w:rFonts w:cs="Arial"/>
                <w:bCs/>
              </w:rPr>
            </w:pPr>
          </w:p>
        </w:tc>
      </w:tr>
      <w:tr w:rsidR="004175F0" w:rsidRPr="00FD4578" w:rsidTr="004175F0">
        <w:tc>
          <w:tcPr>
            <w:tcW w:w="10260" w:type="dxa"/>
            <w:gridSpan w:val="8"/>
          </w:tcPr>
          <w:p w:rsidR="004175F0" w:rsidRPr="00FD4578" w:rsidRDefault="004175F0" w:rsidP="004175F0">
            <w:pPr>
              <w:ind w:left="0"/>
              <w:rPr>
                <w:rFonts w:cs="Arial"/>
                <w:b/>
                <w:snapToGrid w:val="0"/>
              </w:rPr>
            </w:pPr>
            <w:r w:rsidRPr="00FD4578">
              <w:rPr>
                <w:rFonts w:cs="Arial"/>
                <w:b/>
                <w:snapToGrid w:val="0"/>
              </w:rPr>
              <w:t>Secţiunea a 5 –a – Efectele proiectului de act normativ asupra legislaţiei în vigoare</w:t>
            </w:r>
          </w:p>
        </w:tc>
      </w:tr>
      <w:tr w:rsidR="004175F0" w:rsidRPr="00FD4578" w:rsidTr="004175F0">
        <w:tc>
          <w:tcPr>
            <w:tcW w:w="4289" w:type="dxa"/>
          </w:tcPr>
          <w:p w:rsidR="004175F0" w:rsidRPr="00FD4578" w:rsidRDefault="004175F0" w:rsidP="004175F0">
            <w:pPr>
              <w:ind w:left="0"/>
              <w:rPr>
                <w:rFonts w:cs="Arial"/>
              </w:rPr>
            </w:pPr>
            <w:r w:rsidRPr="00FD4578">
              <w:rPr>
                <w:rFonts w:cs="Arial"/>
                <w:snapToGrid w:val="0"/>
              </w:rPr>
              <w:t xml:space="preserve">1. </w:t>
            </w:r>
            <w:r w:rsidRPr="00FD4578">
              <w:rPr>
                <w:rFonts w:cs="Arial"/>
              </w:rPr>
              <w:t xml:space="preserve">Măsuri normative necesare pentru   aplicarea prevederilor  proiectului de act normativ:                                            </w:t>
            </w:r>
          </w:p>
          <w:p w:rsidR="004175F0" w:rsidRPr="00FD4578" w:rsidRDefault="004175F0" w:rsidP="004175F0">
            <w:pPr>
              <w:ind w:left="0"/>
              <w:rPr>
                <w:rFonts w:cs="Arial"/>
              </w:rPr>
            </w:pPr>
            <w:r w:rsidRPr="00FD4578">
              <w:rPr>
                <w:rFonts w:cs="Arial"/>
              </w:rPr>
              <w:lastRenderedPageBreak/>
              <w:t xml:space="preserve">a) acte normative în vigoare ce vor    fi modificate sau abrogate, ca   urmare a intrării în vigoare a       proiectului de act normativ;    </w:t>
            </w:r>
          </w:p>
          <w:p w:rsidR="004175F0" w:rsidRPr="00FD4578" w:rsidRDefault="004175F0" w:rsidP="004175F0">
            <w:pPr>
              <w:ind w:left="0"/>
              <w:rPr>
                <w:rFonts w:cs="Arial"/>
                <w:snapToGrid w:val="0"/>
              </w:rPr>
            </w:pPr>
            <w:r w:rsidRPr="00FD4578">
              <w:rPr>
                <w:rFonts w:cs="Arial"/>
              </w:rPr>
              <w:t>b) acte normative ce urmează a fi elaborate în implementării noilor dispoziţii.</w:t>
            </w:r>
          </w:p>
        </w:tc>
        <w:tc>
          <w:tcPr>
            <w:tcW w:w="5971" w:type="dxa"/>
            <w:gridSpan w:val="7"/>
          </w:tcPr>
          <w:p w:rsidR="004175F0" w:rsidRPr="00FD4578" w:rsidRDefault="004175F0" w:rsidP="004175F0">
            <w:pPr>
              <w:ind w:left="0"/>
              <w:rPr>
                <w:rFonts w:cs="Arial"/>
                <w:snapToGrid w:val="0"/>
              </w:rPr>
            </w:pPr>
            <w:r w:rsidRPr="00FD4578">
              <w:rPr>
                <w:rFonts w:cs="Arial"/>
                <w:snapToGrid w:val="0"/>
              </w:rPr>
              <w:lastRenderedPageBreak/>
              <w:t xml:space="preserve">Nu este cazul. </w:t>
            </w:r>
          </w:p>
        </w:tc>
      </w:tr>
      <w:tr w:rsidR="004175F0" w:rsidRPr="00FD4578" w:rsidTr="004175F0">
        <w:tc>
          <w:tcPr>
            <w:tcW w:w="4289" w:type="dxa"/>
          </w:tcPr>
          <w:p w:rsidR="004175F0" w:rsidRPr="00FD4578" w:rsidRDefault="004175F0" w:rsidP="004175F0">
            <w:pPr>
              <w:ind w:left="0"/>
              <w:rPr>
                <w:rFonts w:cs="Arial"/>
                <w:snapToGrid w:val="0"/>
              </w:rPr>
            </w:pPr>
            <w:r w:rsidRPr="00FD4578">
              <w:rPr>
                <w:rFonts w:cs="Arial"/>
                <w:snapToGrid w:val="0"/>
              </w:rPr>
              <w:lastRenderedPageBreak/>
              <w:t>1</w:t>
            </w:r>
            <w:r w:rsidRPr="00FD4578">
              <w:rPr>
                <w:rFonts w:cs="Arial"/>
                <w:snapToGrid w:val="0"/>
                <w:vertAlign w:val="superscript"/>
              </w:rPr>
              <w:t>1</w:t>
            </w:r>
            <w:r w:rsidRPr="00FD4578">
              <w:rPr>
                <w:rFonts w:cs="Arial"/>
                <w:snapToGrid w:val="0"/>
              </w:rPr>
              <w:t>. Compatibilitatea proiectului de act normativ cu legislația în domeniul achizițiilor publice</w:t>
            </w:r>
          </w:p>
        </w:tc>
        <w:tc>
          <w:tcPr>
            <w:tcW w:w="5971" w:type="dxa"/>
            <w:gridSpan w:val="7"/>
          </w:tcPr>
          <w:p w:rsidR="004175F0" w:rsidRPr="00FD4578" w:rsidRDefault="004175F0" w:rsidP="004175F0">
            <w:pPr>
              <w:ind w:left="0"/>
              <w:rPr>
                <w:rFonts w:cs="Arial"/>
                <w:snapToGrid w:val="0"/>
              </w:rPr>
            </w:pPr>
            <w:r w:rsidRPr="00FD4578">
              <w:rPr>
                <w:rFonts w:cs="Arial"/>
                <w:snapToGrid w:val="0"/>
              </w:rPr>
              <w:t>Nu este cazul</w:t>
            </w:r>
          </w:p>
        </w:tc>
      </w:tr>
      <w:tr w:rsidR="004175F0" w:rsidRPr="00FD4578" w:rsidTr="004175F0">
        <w:trPr>
          <w:trHeight w:val="330"/>
        </w:trPr>
        <w:tc>
          <w:tcPr>
            <w:tcW w:w="4289" w:type="dxa"/>
          </w:tcPr>
          <w:p w:rsidR="004175F0" w:rsidRPr="00FD4578" w:rsidRDefault="004175F0" w:rsidP="004175F0">
            <w:pPr>
              <w:autoSpaceDE w:val="0"/>
              <w:autoSpaceDN w:val="0"/>
              <w:adjustRightInd w:val="0"/>
              <w:ind w:left="0"/>
              <w:rPr>
                <w:rFonts w:cs="Arial"/>
                <w:snapToGrid w:val="0"/>
              </w:rPr>
            </w:pPr>
            <w:r w:rsidRPr="00FD4578">
              <w:rPr>
                <w:rFonts w:cs="Arial"/>
                <w:snapToGrid w:val="0"/>
              </w:rPr>
              <w:t xml:space="preserve">2. </w:t>
            </w:r>
            <w:r w:rsidRPr="00FD4578">
              <w:rPr>
                <w:rFonts w:cs="Arial"/>
                <w:iCs/>
              </w:rPr>
              <w:t>Conformitatea proiectului de act normativ cu legislaţia comunitară în cazul proiectelor ce transpun prevederi comunitare</w:t>
            </w:r>
          </w:p>
        </w:tc>
        <w:tc>
          <w:tcPr>
            <w:tcW w:w="5971" w:type="dxa"/>
            <w:gridSpan w:val="7"/>
          </w:tcPr>
          <w:p w:rsidR="004175F0" w:rsidRPr="00FD4578" w:rsidRDefault="0053713A" w:rsidP="00B9527A">
            <w:pPr>
              <w:ind w:left="0"/>
              <w:rPr>
                <w:rFonts w:cs="Arial"/>
                <w:snapToGrid w:val="0"/>
              </w:rPr>
            </w:pPr>
            <w:r w:rsidRPr="00FD4578">
              <w:rPr>
                <w:rFonts w:cs="Arial"/>
                <w:snapToGrid w:val="0"/>
              </w:rPr>
              <w:t>Pro</w:t>
            </w:r>
            <w:r w:rsidR="00D95A9C" w:rsidRPr="00FD4578">
              <w:rPr>
                <w:rFonts w:cs="Arial"/>
                <w:snapToGrid w:val="0"/>
              </w:rPr>
              <w:t>i</w:t>
            </w:r>
            <w:r w:rsidRPr="00FD4578">
              <w:rPr>
                <w:rFonts w:cs="Arial"/>
                <w:snapToGrid w:val="0"/>
              </w:rPr>
              <w:t xml:space="preserve">ectul este conform </w:t>
            </w:r>
            <w:r w:rsidR="001F5DA9" w:rsidRPr="00FD4578">
              <w:rPr>
                <w:rFonts w:cs="Arial"/>
                <w:snapToGrid w:val="0"/>
              </w:rPr>
              <w:t>cu prevederile</w:t>
            </w:r>
            <w:r w:rsidRPr="00FD4578">
              <w:rPr>
                <w:rFonts w:cs="Arial"/>
                <w:snapToGrid w:val="0"/>
              </w:rPr>
              <w:t xml:space="preserve"> </w:t>
            </w:r>
            <w:r w:rsidRPr="00FD4578">
              <w:t>Regulamentului (UE) 2017/1939 al Consiliului din 12 octombrie 2017 de punere în aplicare a unei forme de cooperare consolidată în ceea ce privește instituirea Parchetului European (EPPO), pentru facilitarea aplicării căruia este necesară adoptarea unor măsuri legislative la nivel național.</w:t>
            </w:r>
            <w:r w:rsidRPr="00FD4578">
              <w:rPr>
                <w:rFonts w:cs="Arial"/>
                <w:snapToGrid w:val="0"/>
              </w:rPr>
              <w:t xml:space="preserve"> </w:t>
            </w:r>
          </w:p>
        </w:tc>
      </w:tr>
      <w:tr w:rsidR="004175F0" w:rsidRPr="00FD4578" w:rsidTr="004175F0">
        <w:trPr>
          <w:trHeight w:val="328"/>
        </w:trPr>
        <w:tc>
          <w:tcPr>
            <w:tcW w:w="4289" w:type="dxa"/>
          </w:tcPr>
          <w:p w:rsidR="004175F0" w:rsidRPr="00FD4578" w:rsidRDefault="004175F0" w:rsidP="004175F0">
            <w:pPr>
              <w:autoSpaceDE w:val="0"/>
              <w:autoSpaceDN w:val="0"/>
              <w:adjustRightInd w:val="0"/>
              <w:ind w:left="0"/>
              <w:rPr>
                <w:rFonts w:cs="Arial"/>
                <w:snapToGrid w:val="0"/>
              </w:rPr>
            </w:pPr>
            <w:r w:rsidRPr="00FD4578">
              <w:rPr>
                <w:rFonts w:cs="Arial"/>
                <w:iCs/>
              </w:rPr>
              <w:t>3. Măsuri normative necesare aplicării directe a actelor  normative comunitare</w:t>
            </w:r>
          </w:p>
        </w:tc>
        <w:tc>
          <w:tcPr>
            <w:tcW w:w="5971" w:type="dxa"/>
            <w:gridSpan w:val="7"/>
          </w:tcPr>
          <w:p w:rsidR="004175F0" w:rsidRPr="00FD4578" w:rsidRDefault="0053713A" w:rsidP="004175F0">
            <w:pPr>
              <w:ind w:left="0"/>
              <w:rPr>
                <w:rFonts w:cs="Arial"/>
                <w:snapToGrid w:val="0"/>
              </w:rPr>
            </w:pPr>
            <w:r w:rsidRPr="00FD4578">
              <w:rPr>
                <w:rFonts w:cs="Arial"/>
                <w:snapToGrid w:val="0"/>
              </w:rPr>
              <w:t>A se vedea supra.</w:t>
            </w:r>
          </w:p>
        </w:tc>
      </w:tr>
      <w:tr w:rsidR="004175F0" w:rsidRPr="00FD4578" w:rsidTr="004175F0">
        <w:trPr>
          <w:trHeight w:val="328"/>
        </w:trPr>
        <w:tc>
          <w:tcPr>
            <w:tcW w:w="4289" w:type="dxa"/>
          </w:tcPr>
          <w:p w:rsidR="004175F0" w:rsidRPr="00FD4578" w:rsidRDefault="004175F0" w:rsidP="004175F0">
            <w:pPr>
              <w:ind w:left="0"/>
              <w:rPr>
                <w:rFonts w:cs="Arial"/>
                <w:snapToGrid w:val="0"/>
              </w:rPr>
            </w:pPr>
            <w:r w:rsidRPr="00FD4578">
              <w:rPr>
                <w:rFonts w:cs="Arial"/>
                <w:snapToGrid w:val="0"/>
              </w:rPr>
              <w:t>4. Hotărâri ale Curții de Justiție a Uniunii Europene</w:t>
            </w:r>
          </w:p>
        </w:tc>
        <w:tc>
          <w:tcPr>
            <w:tcW w:w="5971" w:type="dxa"/>
            <w:gridSpan w:val="7"/>
          </w:tcPr>
          <w:p w:rsidR="004175F0" w:rsidRPr="00FD4578" w:rsidRDefault="004175F0" w:rsidP="004175F0">
            <w:pPr>
              <w:ind w:left="0"/>
              <w:rPr>
                <w:rFonts w:cs="Arial"/>
              </w:rPr>
            </w:pPr>
            <w:r w:rsidRPr="00FD4578">
              <w:rPr>
                <w:rFonts w:cs="Arial"/>
              </w:rPr>
              <w:t xml:space="preserve">Nu este cazul. </w:t>
            </w:r>
          </w:p>
        </w:tc>
      </w:tr>
      <w:tr w:rsidR="004175F0" w:rsidRPr="00FD4578" w:rsidTr="004175F0">
        <w:trPr>
          <w:trHeight w:val="328"/>
        </w:trPr>
        <w:tc>
          <w:tcPr>
            <w:tcW w:w="4289" w:type="dxa"/>
          </w:tcPr>
          <w:p w:rsidR="004175F0" w:rsidRPr="00FD4578" w:rsidRDefault="004175F0" w:rsidP="004175F0">
            <w:pPr>
              <w:ind w:left="0"/>
              <w:rPr>
                <w:rFonts w:cs="Arial"/>
                <w:snapToGrid w:val="0"/>
              </w:rPr>
            </w:pPr>
            <w:r w:rsidRPr="00FD4578">
              <w:rPr>
                <w:rFonts w:cs="Arial"/>
                <w:snapToGrid w:val="0"/>
              </w:rPr>
              <w:t>5. Alte acte normative și/sau documente internaționale d</w:t>
            </w:r>
            <w:r w:rsidR="00FD4578">
              <w:rPr>
                <w:rFonts w:cs="Arial"/>
                <w:snapToGrid w:val="0"/>
              </w:rPr>
              <w:t>i</w:t>
            </w:r>
            <w:bookmarkStart w:id="0" w:name="_GoBack"/>
            <w:bookmarkEnd w:id="0"/>
            <w:r w:rsidRPr="00FD4578">
              <w:rPr>
                <w:rFonts w:cs="Arial"/>
                <w:snapToGrid w:val="0"/>
              </w:rPr>
              <w:t>n care decurg angajamente</w:t>
            </w:r>
          </w:p>
        </w:tc>
        <w:tc>
          <w:tcPr>
            <w:tcW w:w="5971" w:type="dxa"/>
            <w:gridSpan w:val="7"/>
          </w:tcPr>
          <w:p w:rsidR="004175F0" w:rsidRPr="00FD4578" w:rsidRDefault="0053713A" w:rsidP="004175F0">
            <w:pPr>
              <w:ind w:left="0"/>
              <w:rPr>
                <w:rFonts w:cs="Arial"/>
              </w:rPr>
            </w:pPr>
            <w:r w:rsidRPr="00FD4578">
              <w:rPr>
                <w:rFonts w:cs="Arial"/>
              </w:rPr>
              <w:t>Tratatul de aderare a României și Bulgariei la Uniunea Europeană; Tratatul privind Uniunea Europeană; Tratatul privind Funcționarea Uniunii Europene.</w:t>
            </w:r>
          </w:p>
          <w:p w:rsidR="004175F0" w:rsidRPr="00FD4578" w:rsidRDefault="004175F0" w:rsidP="004175F0">
            <w:pPr>
              <w:ind w:left="0"/>
              <w:rPr>
                <w:rFonts w:cs="Arial"/>
              </w:rPr>
            </w:pPr>
          </w:p>
        </w:tc>
      </w:tr>
      <w:tr w:rsidR="004175F0" w:rsidRPr="00FD4578" w:rsidTr="004175F0">
        <w:trPr>
          <w:trHeight w:val="328"/>
        </w:trPr>
        <w:tc>
          <w:tcPr>
            <w:tcW w:w="4289" w:type="dxa"/>
          </w:tcPr>
          <w:p w:rsidR="004175F0" w:rsidRPr="00FD4578" w:rsidRDefault="004175F0" w:rsidP="004175F0">
            <w:pPr>
              <w:ind w:left="0"/>
              <w:rPr>
                <w:rFonts w:cs="Arial"/>
                <w:snapToGrid w:val="0"/>
              </w:rPr>
            </w:pPr>
            <w:r w:rsidRPr="00FD4578">
              <w:rPr>
                <w:rFonts w:cs="Arial"/>
                <w:snapToGrid w:val="0"/>
              </w:rPr>
              <w:t xml:space="preserve">6. Alte informații. </w:t>
            </w:r>
          </w:p>
        </w:tc>
        <w:tc>
          <w:tcPr>
            <w:tcW w:w="5971" w:type="dxa"/>
            <w:gridSpan w:val="7"/>
          </w:tcPr>
          <w:p w:rsidR="004175F0" w:rsidRPr="00FD4578" w:rsidRDefault="004175F0" w:rsidP="004175F0">
            <w:pPr>
              <w:ind w:left="0"/>
              <w:rPr>
                <w:rFonts w:cs="Arial"/>
              </w:rPr>
            </w:pPr>
            <w:r w:rsidRPr="00FD4578">
              <w:rPr>
                <w:rFonts w:cs="Arial"/>
              </w:rPr>
              <w:t xml:space="preserve">Nu este cazul. </w:t>
            </w:r>
          </w:p>
        </w:tc>
      </w:tr>
      <w:tr w:rsidR="004175F0" w:rsidRPr="00FD4578" w:rsidTr="004175F0">
        <w:trPr>
          <w:trHeight w:val="328"/>
        </w:trPr>
        <w:tc>
          <w:tcPr>
            <w:tcW w:w="10260" w:type="dxa"/>
            <w:gridSpan w:val="8"/>
          </w:tcPr>
          <w:p w:rsidR="009E6B74" w:rsidRPr="00FD4578" w:rsidRDefault="009E6B74" w:rsidP="004175F0">
            <w:pPr>
              <w:ind w:left="0"/>
              <w:rPr>
                <w:rFonts w:cs="Arial"/>
                <w:b/>
                <w:snapToGrid w:val="0"/>
              </w:rPr>
            </w:pPr>
          </w:p>
          <w:p w:rsidR="004175F0" w:rsidRPr="00FD4578" w:rsidRDefault="004175F0" w:rsidP="004175F0">
            <w:pPr>
              <w:ind w:left="0"/>
              <w:rPr>
                <w:rFonts w:cs="Arial"/>
                <w:b/>
                <w:snapToGrid w:val="0"/>
              </w:rPr>
            </w:pPr>
            <w:r w:rsidRPr="00FD4578">
              <w:rPr>
                <w:rFonts w:cs="Arial"/>
                <w:b/>
                <w:snapToGrid w:val="0"/>
              </w:rPr>
              <w:t>Secţiunea a 6-a – Consultările efectuate în vederea elaborării proiectului de act normativ</w:t>
            </w:r>
          </w:p>
        </w:tc>
      </w:tr>
      <w:tr w:rsidR="004175F0" w:rsidRPr="00FD4578" w:rsidTr="004175F0">
        <w:trPr>
          <w:trHeight w:val="340"/>
        </w:trPr>
        <w:tc>
          <w:tcPr>
            <w:tcW w:w="4289" w:type="dxa"/>
          </w:tcPr>
          <w:p w:rsidR="004175F0" w:rsidRPr="00FD4578" w:rsidRDefault="004175F0" w:rsidP="004175F0">
            <w:pPr>
              <w:ind w:left="0"/>
              <w:rPr>
                <w:rFonts w:cs="Arial"/>
                <w:snapToGrid w:val="0"/>
              </w:rPr>
            </w:pPr>
            <w:r w:rsidRPr="00FD4578">
              <w:rPr>
                <w:rFonts w:cs="Arial"/>
              </w:rPr>
              <w:t>1. Informaţii privind procesul de consultare cu organizaţii neguvernamentale, institute de  cercetare şi alte organisme     implicate</w:t>
            </w:r>
          </w:p>
        </w:tc>
        <w:tc>
          <w:tcPr>
            <w:tcW w:w="5971" w:type="dxa"/>
            <w:gridSpan w:val="7"/>
          </w:tcPr>
          <w:p w:rsidR="004175F0" w:rsidRPr="00FD4578" w:rsidRDefault="004175F0" w:rsidP="004175F0">
            <w:pPr>
              <w:ind w:left="0"/>
              <w:rPr>
                <w:rFonts w:cs="Arial"/>
                <w:snapToGrid w:val="0"/>
              </w:rPr>
            </w:pPr>
            <w:r w:rsidRPr="00FD4578">
              <w:rPr>
                <w:rFonts w:cs="Arial"/>
                <w:snapToGrid w:val="0"/>
              </w:rPr>
              <w:t xml:space="preserve">Nu este cazul </w:t>
            </w:r>
          </w:p>
        </w:tc>
      </w:tr>
      <w:tr w:rsidR="004175F0" w:rsidRPr="00FD4578" w:rsidTr="004175F0">
        <w:trPr>
          <w:trHeight w:val="338"/>
        </w:trPr>
        <w:tc>
          <w:tcPr>
            <w:tcW w:w="4289" w:type="dxa"/>
          </w:tcPr>
          <w:p w:rsidR="004175F0" w:rsidRPr="00FD4578" w:rsidRDefault="004175F0" w:rsidP="004175F0">
            <w:pPr>
              <w:ind w:left="0"/>
              <w:rPr>
                <w:rFonts w:cs="Arial"/>
                <w:snapToGrid w:val="0"/>
              </w:rPr>
            </w:pPr>
            <w:r w:rsidRPr="00FD4578">
              <w:rPr>
                <w:rFonts w:cs="Arial"/>
                <w:snapToGrid w:val="0"/>
              </w:rPr>
              <w:t>2. Fundamentarea alegerii organizaţiilor cu care a avut loc consultarea, precum şi a modului în care activitatea acestor organizaţii este legată de obiectul proiectului de act normativ</w:t>
            </w:r>
          </w:p>
        </w:tc>
        <w:tc>
          <w:tcPr>
            <w:tcW w:w="5971" w:type="dxa"/>
            <w:gridSpan w:val="7"/>
          </w:tcPr>
          <w:p w:rsidR="004175F0" w:rsidRPr="00FD4578" w:rsidRDefault="004175F0" w:rsidP="004175F0">
            <w:pPr>
              <w:ind w:left="0"/>
              <w:rPr>
                <w:rFonts w:cs="Arial"/>
                <w:snapToGrid w:val="0"/>
              </w:rPr>
            </w:pPr>
            <w:r w:rsidRPr="00FD4578">
              <w:rPr>
                <w:rFonts w:cs="Arial"/>
                <w:snapToGrid w:val="0"/>
              </w:rPr>
              <w:t xml:space="preserve">Nu este cazul </w:t>
            </w:r>
          </w:p>
        </w:tc>
      </w:tr>
      <w:tr w:rsidR="004175F0" w:rsidRPr="00FD4578" w:rsidTr="004175F0">
        <w:trPr>
          <w:trHeight w:val="338"/>
        </w:trPr>
        <w:tc>
          <w:tcPr>
            <w:tcW w:w="4289" w:type="dxa"/>
          </w:tcPr>
          <w:p w:rsidR="004175F0" w:rsidRPr="00FD4578" w:rsidRDefault="004175F0" w:rsidP="004175F0">
            <w:pPr>
              <w:ind w:left="0"/>
              <w:rPr>
                <w:rFonts w:cs="Arial"/>
                <w:snapToGrid w:val="0"/>
              </w:rPr>
            </w:pPr>
            <w:r w:rsidRPr="00FD4578">
              <w:rPr>
                <w:rFonts w:cs="Arial"/>
                <w:snapToGrid w:val="0"/>
              </w:rPr>
              <w:t xml:space="preserve">3. Consultările organizate cu autorităţile administraţiei publice locale, în situaţia în care proiectul de act normativ are ca obiect activităţi ale acestor autorităţi, în condiţiile Hotărârii Guvernului nr. </w:t>
            </w:r>
            <w:r w:rsidRPr="00FD4578">
              <w:rPr>
                <w:rFonts w:cs="Arial"/>
                <w:snapToGrid w:val="0"/>
              </w:rPr>
              <w:lastRenderedPageBreak/>
              <w:t>521/2005 privind procedura de consultare a structurilor asociative ale autorităţilor administraţiei publice locale la elaborarea proiectelor de acte normative</w:t>
            </w:r>
          </w:p>
        </w:tc>
        <w:tc>
          <w:tcPr>
            <w:tcW w:w="5971" w:type="dxa"/>
            <w:gridSpan w:val="7"/>
          </w:tcPr>
          <w:p w:rsidR="004175F0" w:rsidRPr="00FD4578" w:rsidRDefault="004175F0" w:rsidP="004175F0">
            <w:pPr>
              <w:ind w:left="0"/>
              <w:rPr>
                <w:rFonts w:cs="Arial"/>
                <w:snapToGrid w:val="0"/>
              </w:rPr>
            </w:pPr>
            <w:r w:rsidRPr="00FD4578">
              <w:rPr>
                <w:rFonts w:cs="Arial"/>
                <w:snapToGrid w:val="0"/>
              </w:rPr>
              <w:lastRenderedPageBreak/>
              <w:t>Nu este cazul</w:t>
            </w:r>
          </w:p>
        </w:tc>
      </w:tr>
      <w:tr w:rsidR="004175F0" w:rsidRPr="00FD4578" w:rsidTr="004175F0">
        <w:trPr>
          <w:trHeight w:val="338"/>
        </w:trPr>
        <w:tc>
          <w:tcPr>
            <w:tcW w:w="4289" w:type="dxa"/>
          </w:tcPr>
          <w:p w:rsidR="004175F0" w:rsidRPr="00FD4578" w:rsidRDefault="004175F0" w:rsidP="004175F0">
            <w:pPr>
              <w:autoSpaceDE w:val="0"/>
              <w:autoSpaceDN w:val="0"/>
              <w:adjustRightInd w:val="0"/>
              <w:ind w:left="0"/>
              <w:rPr>
                <w:rFonts w:cs="Arial"/>
                <w:snapToGrid w:val="0"/>
              </w:rPr>
            </w:pPr>
            <w:r w:rsidRPr="00FD4578">
              <w:rPr>
                <w:rFonts w:cs="Arial"/>
                <w:snapToGrid w:val="0"/>
              </w:rPr>
              <w:lastRenderedPageBreak/>
              <w:t xml:space="preserve">4. </w:t>
            </w:r>
            <w:r w:rsidRPr="00FD4578">
              <w:rPr>
                <w:rFonts w:cs="Arial"/>
              </w:rPr>
              <w:t>Consultările desfăşurate în cadrul consiliilor interministeriale, în conformitate cu prevederile    Hotărârii Guvernului nr. 750/2005  privind constituirea consiliilor    interministeriale permanente</w:t>
            </w:r>
          </w:p>
        </w:tc>
        <w:tc>
          <w:tcPr>
            <w:tcW w:w="5971" w:type="dxa"/>
            <w:gridSpan w:val="7"/>
          </w:tcPr>
          <w:p w:rsidR="004175F0" w:rsidRPr="00FD4578" w:rsidRDefault="004175F0" w:rsidP="004175F0">
            <w:pPr>
              <w:ind w:left="0"/>
              <w:rPr>
                <w:rFonts w:cs="Arial"/>
                <w:snapToGrid w:val="0"/>
              </w:rPr>
            </w:pPr>
            <w:r w:rsidRPr="00FD4578">
              <w:rPr>
                <w:rFonts w:cs="Arial"/>
                <w:snapToGrid w:val="0"/>
              </w:rPr>
              <w:t xml:space="preserve">Nu este cazul. </w:t>
            </w:r>
          </w:p>
        </w:tc>
      </w:tr>
      <w:tr w:rsidR="004175F0" w:rsidRPr="00FD4578" w:rsidTr="004175F0">
        <w:trPr>
          <w:trHeight w:val="338"/>
        </w:trPr>
        <w:tc>
          <w:tcPr>
            <w:tcW w:w="4289" w:type="dxa"/>
          </w:tcPr>
          <w:p w:rsidR="004175F0" w:rsidRPr="00FD4578" w:rsidRDefault="004175F0" w:rsidP="004175F0">
            <w:pPr>
              <w:ind w:left="0"/>
              <w:rPr>
                <w:rFonts w:cs="Arial"/>
                <w:snapToGrid w:val="0"/>
              </w:rPr>
            </w:pPr>
            <w:r w:rsidRPr="00FD4578">
              <w:rPr>
                <w:rFonts w:cs="Arial"/>
                <w:snapToGrid w:val="0"/>
              </w:rPr>
              <w:t>5. Informaţii privind avizarea de către:</w:t>
            </w:r>
          </w:p>
          <w:p w:rsidR="004175F0" w:rsidRPr="00FD4578" w:rsidRDefault="004175F0" w:rsidP="004175F0">
            <w:pPr>
              <w:ind w:left="0"/>
              <w:rPr>
                <w:rFonts w:cs="Arial"/>
                <w:snapToGrid w:val="0"/>
              </w:rPr>
            </w:pPr>
            <w:r w:rsidRPr="00FD4578">
              <w:rPr>
                <w:rFonts w:cs="Arial"/>
                <w:snapToGrid w:val="0"/>
              </w:rPr>
              <w:t>a) Consiliul Legislativ</w:t>
            </w:r>
          </w:p>
          <w:p w:rsidR="004175F0" w:rsidRPr="00FD4578" w:rsidRDefault="004175F0" w:rsidP="004175F0">
            <w:pPr>
              <w:ind w:left="0"/>
              <w:rPr>
                <w:rFonts w:cs="Arial"/>
                <w:snapToGrid w:val="0"/>
              </w:rPr>
            </w:pPr>
            <w:r w:rsidRPr="00FD4578">
              <w:rPr>
                <w:rFonts w:cs="Arial"/>
                <w:snapToGrid w:val="0"/>
              </w:rPr>
              <w:t>b) Consiliul Suprem de Apărare a Ţării</w:t>
            </w:r>
          </w:p>
          <w:p w:rsidR="004175F0" w:rsidRPr="00FD4578" w:rsidRDefault="004175F0" w:rsidP="004175F0">
            <w:pPr>
              <w:ind w:left="0"/>
              <w:rPr>
                <w:rFonts w:cs="Arial"/>
                <w:snapToGrid w:val="0"/>
              </w:rPr>
            </w:pPr>
            <w:r w:rsidRPr="00FD4578">
              <w:rPr>
                <w:rFonts w:cs="Arial"/>
                <w:snapToGrid w:val="0"/>
              </w:rPr>
              <w:t>c) Consiliul Economic şi Social</w:t>
            </w:r>
          </w:p>
          <w:p w:rsidR="004175F0" w:rsidRPr="00FD4578" w:rsidRDefault="004175F0" w:rsidP="004175F0">
            <w:pPr>
              <w:ind w:left="0"/>
              <w:rPr>
                <w:rFonts w:cs="Arial"/>
                <w:snapToGrid w:val="0"/>
              </w:rPr>
            </w:pPr>
            <w:r w:rsidRPr="00FD4578">
              <w:rPr>
                <w:rFonts w:cs="Arial"/>
                <w:snapToGrid w:val="0"/>
              </w:rPr>
              <w:t>d) Consiliul Concurenţei</w:t>
            </w:r>
          </w:p>
          <w:p w:rsidR="004175F0" w:rsidRPr="00FD4578" w:rsidRDefault="004175F0" w:rsidP="004175F0">
            <w:pPr>
              <w:ind w:left="0"/>
              <w:rPr>
                <w:rFonts w:cs="Arial"/>
                <w:snapToGrid w:val="0"/>
              </w:rPr>
            </w:pPr>
            <w:r w:rsidRPr="00FD4578">
              <w:rPr>
                <w:rFonts w:cs="Arial"/>
                <w:snapToGrid w:val="0"/>
              </w:rPr>
              <w:t>e) Curtea de Conturi.</w:t>
            </w:r>
          </w:p>
        </w:tc>
        <w:tc>
          <w:tcPr>
            <w:tcW w:w="5971" w:type="dxa"/>
            <w:gridSpan w:val="7"/>
          </w:tcPr>
          <w:p w:rsidR="004175F0" w:rsidRPr="00FD4578" w:rsidRDefault="004175F0" w:rsidP="004175F0">
            <w:pPr>
              <w:ind w:left="0"/>
              <w:rPr>
                <w:rFonts w:cs="Arial"/>
                <w:snapToGrid w:val="0"/>
              </w:rPr>
            </w:pPr>
            <w:r w:rsidRPr="00FD4578">
              <w:rPr>
                <w:rFonts w:cs="Arial"/>
                <w:snapToGrid w:val="0"/>
              </w:rPr>
              <w:t xml:space="preserve">Proiectul va fi avizat de Consiliul Superior al Magistraturii și Consiliul Legislativ. </w:t>
            </w:r>
          </w:p>
        </w:tc>
      </w:tr>
      <w:tr w:rsidR="004175F0" w:rsidRPr="00FD4578" w:rsidTr="004175F0">
        <w:trPr>
          <w:trHeight w:val="328"/>
        </w:trPr>
        <w:tc>
          <w:tcPr>
            <w:tcW w:w="10260" w:type="dxa"/>
            <w:gridSpan w:val="8"/>
          </w:tcPr>
          <w:p w:rsidR="009E6B74" w:rsidRPr="00FD4578" w:rsidRDefault="009E6B74" w:rsidP="004175F0">
            <w:pPr>
              <w:ind w:left="0"/>
              <w:rPr>
                <w:rFonts w:cs="Arial"/>
                <w:b/>
                <w:snapToGrid w:val="0"/>
              </w:rPr>
            </w:pPr>
          </w:p>
          <w:p w:rsidR="004175F0" w:rsidRPr="00FD4578" w:rsidRDefault="004175F0" w:rsidP="004175F0">
            <w:pPr>
              <w:ind w:left="0"/>
              <w:rPr>
                <w:rFonts w:cs="Arial"/>
                <w:b/>
                <w:snapToGrid w:val="0"/>
              </w:rPr>
            </w:pPr>
            <w:r w:rsidRPr="00FD4578">
              <w:rPr>
                <w:rFonts w:cs="Arial"/>
                <w:b/>
                <w:snapToGrid w:val="0"/>
              </w:rPr>
              <w:t>Secţiunea a 7-a – Activităţi de informare publică privind elaborarea şi implementarea proiectului de act normativ</w:t>
            </w:r>
          </w:p>
        </w:tc>
      </w:tr>
      <w:tr w:rsidR="004175F0" w:rsidRPr="00FD4578" w:rsidTr="004175F0">
        <w:trPr>
          <w:trHeight w:val="338"/>
        </w:trPr>
        <w:tc>
          <w:tcPr>
            <w:tcW w:w="4289" w:type="dxa"/>
          </w:tcPr>
          <w:p w:rsidR="004175F0" w:rsidRPr="00FD4578" w:rsidRDefault="004175F0" w:rsidP="004175F0">
            <w:pPr>
              <w:ind w:left="0"/>
              <w:rPr>
                <w:rFonts w:cs="Arial"/>
                <w:snapToGrid w:val="0"/>
              </w:rPr>
            </w:pPr>
          </w:p>
          <w:p w:rsidR="004175F0" w:rsidRPr="00FD4578" w:rsidRDefault="004175F0" w:rsidP="004175F0">
            <w:pPr>
              <w:ind w:left="0"/>
              <w:rPr>
                <w:rFonts w:cs="Arial"/>
                <w:snapToGrid w:val="0"/>
              </w:rPr>
            </w:pPr>
            <w:r w:rsidRPr="00FD4578">
              <w:rPr>
                <w:rFonts w:cs="Arial"/>
                <w:snapToGrid w:val="0"/>
              </w:rPr>
              <w:t>1. Informarea societăţii civile cu privire la necesitatea elaborării actului normativ</w:t>
            </w:r>
          </w:p>
        </w:tc>
        <w:tc>
          <w:tcPr>
            <w:tcW w:w="5971" w:type="dxa"/>
            <w:gridSpan w:val="7"/>
          </w:tcPr>
          <w:p w:rsidR="004175F0" w:rsidRPr="00FD4578" w:rsidRDefault="004175F0" w:rsidP="004175F0">
            <w:pPr>
              <w:autoSpaceDE w:val="0"/>
              <w:autoSpaceDN w:val="0"/>
              <w:adjustRightInd w:val="0"/>
              <w:ind w:left="0"/>
              <w:rPr>
                <w:rFonts w:cs="Arial"/>
              </w:rPr>
            </w:pPr>
            <w:r w:rsidRPr="00FD4578">
              <w:rPr>
                <w:rFonts w:cs="Arial"/>
              </w:rPr>
              <w:t xml:space="preserve">Proiectul a fost afişat pe site-ul Ministerului Justiţiei. </w:t>
            </w:r>
          </w:p>
        </w:tc>
      </w:tr>
      <w:tr w:rsidR="004175F0" w:rsidRPr="00FD4578" w:rsidTr="004175F0">
        <w:trPr>
          <w:trHeight w:val="336"/>
        </w:trPr>
        <w:tc>
          <w:tcPr>
            <w:tcW w:w="4289" w:type="dxa"/>
          </w:tcPr>
          <w:p w:rsidR="004175F0" w:rsidRPr="00FD4578" w:rsidRDefault="004175F0" w:rsidP="004175F0">
            <w:pPr>
              <w:ind w:left="0"/>
              <w:rPr>
                <w:rFonts w:cs="Arial"/>
                <w:snapToGrid w:val="0"/>
              </w:rPr>
            </w:pPr>
          </w:p>
          <w:p w:rsidR="004175F0" w:rsidRPr="00FD4578" w:rsidRDefault="004175F0" w:rsidP="004175F0">
            <w:pPr>
              <w:ind w:left="0"/>
              <w:rPr>
                <w:rFonts w:cs="Arial"/>
                <w:snapToGrid w:val="0"/>
              </w:rPr>
            </w:pPr>
            <w:r w:rsidRPr="00FD4578">
              <w:rPr>
                <w:rFonts w:cs="Arial"/>
                <w:snapToGrid w:val="0"/>
              </w:rPr>
              <w:t>2. Informarea societăţii civile cu privire la eventualul impact asupra mediului în urma implementării proiectului de act normativ, precum şi efectele asupra sănătăţii şi securităţii cetăţenilor sau diversităţii biologice</w:t>
            </w:r>
          </w:p>
        </w:tc>
        <w:tc>
          <w:tcPr>
            <w:tcW w:w="5971" w:type="dxa"/>
            <w:gridSpan w:val="7"/>
          </w:tcPr>
          <w:p w:rsidR="004175F0" w:rsidRPr="00FD4578" w:rsidRDefault="00D95A9C" w:rsidP="004175F0">
            <w:pPr>
              <w:ind w:left="0"/>
              <w:rPr>
                <w:rFonts w:cs="Arial"/>
                <w:snapToGrid w:val="0"/>
              </w:rPr>
            </w:pPr>
            <w:r w:rsidRPr="00FD4578">
              <w:rPr>
                <w:rFonts w:cs="Arial"/>
                <w:snapToGrid w:val="0"/>
              </w:rPr>
              <w:t xml:space="preserve">Nu este cazul. </w:t>
            </w:r>
          </w:p>
        </w:tc>
      </w:tr>
      <w:tr w:rsidR="004175F0" w:rsidRPr="00FD4578" w:rsidTr="004175F0">
        <w:trPr>
          <w:trHeight w:val="336"/>
        </w:trPr>
        <w:tc>
          <w:tcPr>
            <w:tcW w:w="4289" w:type="dxa"/>
          </w:tcPr>
          <w:p w:rsidR="004175F0" w:rsidRPr="00FD4578" w:rsidRDefault="004175F0" w:rsidP="004175F0">
            <w:pPr>
              <w:ind w:left="0"/>
              <w:rPr>
                <w:rFonts w:cs="Arial"/>
                <w:snapToGrid w:val="0"/>
              </w:rPr>
            </w:pPr>
            <w:r w:rsidRPr="00FD4578">
              <w:rPr>
                <w:rFonts w:cs="Arial"/>
                <w:snapToGrid w:val="0"/>
              </w:rPr>
              <w:t>3. Alte informații</w:t>
            </w:r>
          </w:p>
        </w:tc>
        <w:tc>
          <w:tcPr>
            <w:tcW w:w="5971" w:type="dxa"/>
            <w:gridSpan w:val="7"/>
          </w:tcPr>
          <w:p w:rsidR="004175F0" w:rsidRPr="00FD4578" w:rsidRDefault="004175F0" w:rsidP="004175F0">
            <w:pPr>
              <w:ind w:left="0"/>
              <w:rPr>
                <w:rFonts w:cs="Arial"/>
                <w:snapToGrid w:val="0"/>
              </w:rPr>
            </w:pPr>
            <w:r w:rsidRPr="00FD4578">
              <w:rPr>
                <w:rFonts w:cs="Arial"/>
                <w:snapToGrid w:val="0"/>
              </w:rPr>
              <w:t>Nu este cazul</w:t>
            </w:r>
          </w:p>
        </w:tc>
      </w:tr>
      <w:tr w:rsidR="004175F0" w:rsidRPr="00FD4578" w:rsidTr="004175F0">
        <w:trPr>
          <w:trHeight w:val="336"/>
        </w:trPr>
        <w:tc>
          <w:tcPr>
            <w:tcW w:w="10260" w:type="dxa"/>
            <w:gridSpan w:val="8"/>
          </w:tcPr>
          <w:p w:rsidR="004175F0" w:rsidRPr="00FD4578" w:rsidRDefault="004175F0" w:rsidP="004175F0">
            <w:pPr>
              <w:ind w:left="0"/>
              <w:rPr>
                <w:rFonts w:cs="Arial"/>
                <w:b/>
                <w:snapToGrid w:val="0"/>
              </w:rPr>
            </w:pPr>
            <w:r w:rsidRPr="00FD4578">
              <w:rPr>
                <w:rFonts w:cs="Arial"/>
                <w:b/>
                <w:snapToGrid w:val="0"/>
              </w:rPr>
              <w:t>Secţiunea a 8-a - Măsuri de implementare</w:t>
            </w:r>
          </w:p>
        </w:tc>
      </w:tr>
      <w:tr w:rsidR="004175F0" w:rsidRPr="00FD4578" w:rsidTr="004175F0">
        <w:trPr>
          <w:trHeight w:val="336"/>
        </w:trPr>
        <w:tc>
          <w:tcPr>
            <w:tcW w:w="4289" w:type="dxa"/>
          </w:tcPr>
          <w:p w:rsidR="004175F0" w:rsidRPr="00FD4578" w:rsidRDefault="004175F0" w:rsidP="004175F0">
            <w:pPr>
              <w:ind w:left="0"/>
              <w:rPr>
                <w:rFonts w:cs="Arial"/>
                <w:snapToGrid w:val="0"/>
              </w:rPr>
            </w:pPr>
          </w:p>
          <w:p w:rsidR="004175F0" w:rsidRPr="00FD4578" w:rsidRDefault="004175F0" w:rsidP="004175F0">
            <w:pPr>
              <w:ind w:left="0"/>
              <w:rPr>
                <w:rFonts w:cs="Arial"/>
                <w:snapToGrid w:val="0"/>
              </w:rPr>
            </w:pPr>
            <w:r w:rsidRPr="00FD4578">
              <w:rPr>
                <w:rFonts w:cs="Arial"/>
                <w:snapToGrid w:val="0"/>
              </w:rPr>
              <w:t>1. Măsurile de punere în aplicare a proiectului de act normativ de către autorităţile administraţiei publice centrale şi/sau locale – înfiinţarea unor noi organisme sau extinderea competenţelor instituţiilor existente</w:t>
            </w:r>
          </w:p>
        </w:tc>
        <w:tc>
          <w:tcPr>
            <w:tcW w:w="5971" w:type="dxa"/>
            <w:gridSpan w:val="7"/>
          </w:tcPr>
          <w:p w:rsidR="004175F0" w:rsidRPr="00FD4578" w:rsidRDefault="004175F0" w:rsidP="004175F0">
            <w:pPr>
              <w:ind w:left="0"/>
              <w:rPr>
                <w:rFonts w:cs="Arial"/>
                <w:snapToGrid w:val="0"/>
              </w:rPr>
            </w:pPr>
            <w:r w:rsidRPr="00FD4578">
              <w:rPr>
                <w:rFonts w:cs="Arial"/>
                <w:snapToGrid w:val="0"/>
              </w:rPr>
              <w:t xml:space="preserve">Nu este cazul. </w:t>
            </w:r>
          </w:p>
        </w:tc>
      </w:tr>
      <w:tr w:rsidR="004175F0" w:rsidRPr="00FD4578" w:rsidTr="004175F0">
        <w:trPr>
          <w:trHeight w:val="336"/>
        </w:trPr>
        <w:tc>
          <w:tcPr>
            <w:tcW w:w="4289" w:type="dxa"/>
          </w:tcPr>
          <w:p w:rsidR="004175F0" w:rsidRPr="00FD4578" w:rsidRDefault="004175F0" w:rsidP="004175F0">
            <w:pPr>
              <w:ind w:left="0"/>
              <w:rPr>
                <w:rFonts w:cs="Arial"/>
                <w:snapToGrid w:val="0"/>
              </w:rPr>
            </w:pPr>
            <w:r w:rsidRPr="00FD4578">
              <w:rPr>
                <w:rFonts w:cs="Arial"/>
                <w:snapToGrid w:val="0"/>
              </w:rPr>
              <w:lastRenderedPageBreak/>
              <w:t>2. Alte informaţii</w:t>
            </w:r>
          </w:p>
        </w:tc>
        <w:tc>
          <w:tcPr>
            <w:tcW w:w="5971" w:type="dxa"/>
            <w:gridSpan w:val="7"/>
          </w:tcPr>
          <w:p w:rsidR="004175F0" w:rsidRPr="00FD4578" w:rsidRDefault="004175F0" w:rsidP="004175F0">
            <w:pPr>
              <w:ind w:left="0"/>
              <w:rPr>
                <w:rFonts w:cs="Arial"/>
                <w:snapToGrid w:val="0"/>
              </w:rPr>
            </w:pPr>
            <w:r w:rsidRPr="00FD4578">
              <w:rPr>
                <w:rFonts w:cs="Arial"/>
                <w:snapToGrid w:val="0"/>
              </w:rPr>
              <w:t>Nu au fost identificate</w:t>
            </w:r>
          </w:p>
        </w:tc>
      </w:tr>
    </w:tbl>
    <w:p w:rsidR="00071536" w:rsidRPr="00FD4578" w:rsidRDefault="00071536" w:rsidP="00C94EEA">
      <w:pPr>
        <w:spacing w:after="0"/>
        <w:ind w:left="0"/>
        <w:rPr>
          <w:rFonts w:cs="Arial"/>
          <w:snapToGrid w:val="0"/>
        </w:rPr>
      </w:pPr>
    </w:p>
    <w:p w:rsidR="00071536" w:rsidRPr="00FD4578" w:rsidRDefault="00071536" w:rsidP="00C94EEA">
      <w:pPr>
        <w:spacing w:after="0"/>
        <w:ind w:left="0"/>
        <w:rPr>
          <w:rFonts w:cs="Arial"/>
          <w:snapToGrid w:val="0"/>
        </w:rPr>
      </w:pPr>
    </w:p>
    <w:p w:rsidR="004175F0" w:rsidRPr="00FD4578" w:rsidRDefault="004175F0" w:rsidP="004B53DD">
      <w:pPr>
        <w:spacing w:after="0"/>
        <w:ind w:left="-1152"/>
      </w:pPr>
      <w:r w:rsidRPr="00FD4578">
        <w:rPr>
          <w:rFonts w:cs="Arial"/>
          <w:b/>
          <w:snapToGrid w:val="0"/>
        </w:rPr>
        <w:t xml:space="preserve">Faţă de cele prezentate, a fost elaborat proiectul </w:t>
      </w:r>
      <w:r w:rsidRPr="00FD4578">
        <w:rPr>
          <w:b/>
          <w:bCs/>
        </w:rPr>
        <w:t>Lege</w:t>
      </w:r>
      <w:r w:rsidRPr="00FD4578">
        <w:rPr>
          <w:bCs/>
        </w:rPr>
        <w:t xml:space="preserve"> </w:t>
      </w:r>
      <w:r w:rsidRPr="00FD4578">
        <w:rPr>
          <w:b/>
        </w:rPr>
        <w:t>privind unele măsuri</w:t>
      </w:r>
      <w:r w:rsidRPr="00FD4578">
        <w:t xml:space="preserve"> </w:t>
      </w:r>
      <w:r w:rsidRPr="00FD4578">
        <w:rPr>
          <w:b/>
        </w:rPr>
        <w:t>pentru aplicarea de către România a Regulamentului (UE) 2017/1939 al Consiliului din 12 octombrie 2017 de punere în aplicare a unei forme de cooperare consolidată în ceea ce privește instituirea Parchetului European (EPPO)</w:t>
      </w:r>
      <w:r w:rsidR="001447E0" w:rsidRPr="00FD4578">
        <w:rPr>
          <w:b/>
        </w:rPr>
        <w:t>, pe care, dacă sunteți de acord, vă rugăm să-l aprobați.</w:t>
      </w:r>
    </w:p>
    <w:p w:rsidR="004175F0" w:rsidRPr="00FD4578" w:rsidRDefault="004175F0" w:rsidP="004B53DD">
      <w:pPr>
        <w:ind w:left="0"/>
        <w:rPr>
          <w:rFonts w:cs="Arial"/>
        </w:rPr>
      </w:pPr>
    </w:p>
    <w:p w:rsidR="004175F0" w:rsidRPr="00FD4578" w:rsidRDefault="004175F0" w:rsidP="004175F0"/>
    <w:p w:rsidR="004175F0" w:rsidRPr="00FD4578" w:rsidRDefault="004175F0" w:rsidP="00EB5296">
      <w:pPr>
        <w:ind w:left="0"/>
      </w:pPr>
    </w:p>
    <w:p w:rsidR="00C94EEA" w:rsidRPr="00FD4578" w:rsidRDefault="00C94EEA" w:rsidP="00EB5296">
      <w:pPr>
        <w:ind w:left="0"/>
      </w:pPr>
    </w:p>
    <w:p w:rsidR="00C94EEA" w:rsidRPr="00FD4578" w:rsidRDefault="00C94EEA" w:rsidP="00C94EEA">
      <w:pPr>
        <w:ind w:left="0"/>
        <w:jc w:val="center"/>
        <w:rPr>
          <w:b/>
        </w:rPr>
      </w:pPr>
      <w:r w:rsidRPr="00FD4578">
        <w:rPr>
          <w:b/>
        </w:rPr>
        <w:t>Ministrul Justiției</w:t>
      </w:r>
    </w:p>
    <w:p w:rsidR="001447E0" w:rsidRPr="00FD4578" w:rsidRDefault="001447E0" w:rsidP="001447E0">
      <w:pPr>
        <w:ind w:left="0"/>
        <w:jc w:val="center"/>
        <w:rPr>
          <w:b/>
        </w:rPr>
      </w:pPr>
      <w:r w:rsidRPr="00FD4578">
        <w:rPr>
          <w:b/>
        </w:rPr>
        <w:t>Tudorel TOADER</w:t>
      </w:r>
    </w:p>
    <w:p w:rsidR="00C94EEA" w:rsidRPr="00FD4578" w:rsidRDefault="00C94EEA" w:rsidP="00C94EEA">
      <w:pPr>
        <w:ind w:left="0"/>
        <w:jc w:val="center"/>
        <w:rPr>
          <w:b/>
        </w:rPr>
      </w:pPr>
    </w:p>
    <w:p w:rsidR="00C94EEA" w:rsidRPr="00FD4578" w:rsidRDefault="00C94EEA" w:rsidP="00C94EEA">
      <w:pPr>
        <w:ind w:left="0"/>
        <w:jc w:val="center"/>
        <w:rPr>
          <w:b/>
        </w:rPr>
      </w:pPr>
    </w:p>
    <w:p w:rsidR="00C94EEA" w:rsidRPr="00FD4578" w:rsidRDefault="00C94EEA" w:rsidP="00C94EEA">
      <w:pPr>
        <w:ind w:left="0"/>
        <w:jc w:val="center"/>
        <w:rPr>
          <w:b/>
        </w:rPr>
      </w:pPr>
      <w:r w:rsidRPr="00FD4578">
        <w:rPr>
          <w:b/>
        </w:rPr>
        <w:t>AVIZĂM FAVORABIL</w:t>
      </w:r>
    </w:p>
    <w:p w:rsidR="00C94EEA" w:rsidRPr="00FD4578" w:rsidRDefault="001447E0" w:rsidP="00D95A9C">
      <w:pPr>
        <w:ind w:left="0"/>
        <w:rPr>
          <w:b/>
        </w:rPr>
      </w:pPr>
      <w:r w:rsidRPr="00FD4578">
        <w:rPr>
          <w: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9E6B74" w:rsidRPr="00FD4578" w:rsidTr="009E6B74">
        <w:tc>
          <w:tcPr>
            <w:tcW w:w="2500" w:type="pct"/>
          </w:tcPr>
          <w:p w:rsidR="009E6B74" w:rsidRPr="00FD4578" w:rsidRDefault="009E6B74" w:rsidP="009E6B74">
            <w:pPr>
              <w:ind w:left="0"/>
              <w:jc w:val="center"/>
              <w:rPr>
                <w:b/>
              </w:rPr>
            </w:pPr>
            <w:r w:rsidRPr="00FD4578">
              <w:rPr>
                <w:b/>
              </w:rPr>
              <w:t>Ministrul Finanțelor Publice</w:t>
            </w:r>
          </w:p>
          <w:p w:rsidR="009E6B74" w:rsidRPr="00FD4578" w:rsidRDefault="009E6B74" w:rsidP="009E6B74">
            <w:pPr>
              <w:ind w:left="0"/>
              <w:jc w:val="center"/>
              <w:rPr>
                <w:b/>
              </w:rPr>
            </w:pPr>
          </w:p>
          <w:p w:rsidR="009E6B74" w:rsidRPr="00FD4578" w:rsidRDefault="009E6B74" w:rsidP="009E6B74">
            <w:pPr>
              <w:ind w:left="0"/>
              <w:jc w:val="center"/>
              <w:rPr>
                <w:b/>
              </w:rPr>
            </w:pPr>
            <w:r w:rsidRPr="00FD4578">
              <w:rPr>
                <w:b/>
              </w:rPr>
              <w:t>Eugen Orlando TEODOROVICI</w:t>
            </w:r>
          </w:p>
          <w:p w:rsidR="009E6B74" w:rsidRPr="00FD4578" w:rsidRDefault="009E6B74" w:rsidP="009E6B74">
            <w:pPr>
              <w:ind w:left="0"/>
              <w:jc w:val="center"/>
              <w:rPr>
                <w:b/>
              </w:rPr>
            </w:pPr>
          </w:p>
        </w:tc>
        <w:tc>
          <w:tcPr>
            <w:tcW w:w="2500" w:type="pct"/>
          </w:tcPr>
          <w:p w:rsidR="009E6B74" w:rsidRPr="00FD4578" w:rsidRDefault="009E6B74" w:rsidP="009E6B74">
            <w:pPr>
              <w:ind w:left="0"/>
              <w:jc w:val="center"/>
              <w:rPr>
                <w:b/>
              </w:rPr>
            </w:pPr>
            <w:r w:rsidRPr="00FD4578">
              <w:rPr>
                <w:b/>
              </w:rPr>
              <w:t>Ministrul Afacerilor Externe</w:t>
            </w:r>
          </w:p>
          <w:p w:rsidR="009E6B74" w:rsidRPr="00FD4578" w:rsidRDefault="009E6B74" w:rsidP="009E6B74">
            <w:pPr>
              <w:ind w:left="0"/>
              <w:jc w:val="center"/>
              <w:rPr>
                <w:b/>
              </w:rPr>
            </w:pPr>
          </w:p>
          <w:p w:rsidR="009E6B74" w:rsidRPr="00FD4578" w:rsidRDefault="009E6B74" w:rsidP="009E6B74">
            <w:pPr>
              <w:ind w:left="0"/>
              <w:jc w:val="center"/>
              <w:rPr>
                <w:b/>
              </w:rPr>
            </w:pPr>
            <w:r w:rsidRPr="00FD4578">
              <w:rPr>
                <w:b/>
              </w:rPr>
              <w:t>Teodor-Viorel MELEȘCANU</w:t>
            </w:r>
          </w:p>
        </w:tc>
      </w:tr>
    </w:tbl>
    <w:p w:rsidR="00C94EEA" w:rsidRPr="00FD4578" w:rsidRDefault="00C94EEA" w:rsidP="001447E0">
      <w:pPr>
        <w:ind w:left="0"/>
        <w:rPr>
          <w:b/>
        </w:rPr>
      </w:pPr>
    </w:p>
    <w:p w:rsidR="00B92102" w:rsidRPr="00FD4578" w:rsidRDefault="00B92102" w:rsidP="001447E0">
      <w:pPr>
        <w:ind w:left="0"/>
        <w:rPr>
          <w:b/>
        </w:rPr>
      </w:pPr>
    </w:p>
    <w:p w:rsidR="00B92102" w:rsidRPr="00FD4578" w:rsidRDefault="00B92102" w:rsidP="001447E0">
      <w:pPr>
        <w:ind w:left="0"/>
        <w:rPr>
          <w:b/>
        </w:rPr>
      </w:pPr>
    </w:p>
    <w:p w:rsidR="00EB5296" w:rsidRPr="00FD4578" w:rsidRDefault="00EB5296" w:rsidP="0053713A">
      <w:pPr>
        <w:spacing w:after="0"/>
        <w:ind w:left="0"/>
      </w:pPr>
    </w:p>
    <w:sectPr w:rsidR="00EB5296" w:rsidRPr="00FD4578" w:rsidSect="002062E1">
      <w:headerReference w:type="default" r:id="rId8"/>
      <w:footerReference w:type="default" r:id="rId9"/>
      <w:headerReference w:type="first" r:id="rId10"/>
      <w:footerReference w:type="first" r:id="rId11"/>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47" w:rsidRDefault="00D92947" w:rsidP="00CD5B3B">
      <w:r>
        <w:separator/>
      </w:r>
    </w:p>
  </w:endnote>
  <w:endnote w:type="continuationSeparator" w:id="0">
    <w:p w:rsidR="00D92947" w:rsidRDefault="00D9294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53713A" w:rsidRPr="00C56446" w:rsidTr="000105DA">
      <w:tc>
        <w:tcPr>
          <w:tcW w:w="1566" w:type="dxa"/>
          <w:shd w:val="clear" w:color="auto" w:fill="auto"/>
        </w:tcPr>
        <w:p w:rsidR="0053713A" w:rsidRPr="00036CF6" w:rsidRDefault="0053713A"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8"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53713A" w:rsidRPr="00036CF6" w:rsidRDefault="0053713A"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53713A" w:rsidRPr="00036CF6" w:rsidRDefault="0053713A" w:rsidP="00036CF6">
          <w:pPr>
            <w:tabs>
              <w:tab w:val="center" w:pos="4320"/>
              <w:tab w:val="right" w:pos="8640"/>
            </w:tabs>
            <w:spacing w:after="0"/>
            <w:ind w:left="0"/>
            <w:rPr>
              <w:sz w:val="14"/>
              <w:szCs w:val="14"/>
            </w:rPr>
          </w:pPr>
          <w:r w:rsidRPr="00036CF6">
            <w:rPr>
              <w:sz w:val="14"/>
              <w:szCs w:val="14"/>
            </w:rPr>
            <w:t>Tel. +4 037 204 1999</w:t>
          </w:r>
        </w:p>
        <w:p w:rsidR="0053713A" w:rsidRPr="00036CF6" w:rsidRDefault="00D92947" w:rsidP="00036CF6">
          <w:pPr>
            <w:tabs>
              <w:tab w:val="center" w:pos="4320"/>
              <w:tab w:val="right" w:pos="8640"/>
            </w:tabs>
            <w:spacing w:after="0"/>
            <w:ind w:left="0"/>
            <w:rPr>
              <w:rFonts w:ascii="Arial" w:eastAsia="Times New Roman" w:hAnsi="Arial" w:cs="Arial"/>
              <w:b/>
              <w:color w:val="003366"/>
              <w:sz w:val="16"/>
              <w:szCs w:val="16"/>
              <w:lang w:eastAsia="ro-RO"/>
            </w:rPr>
          </w:pPr>
          <w:hyperlink r:id="rId2" w:history="1">
            <w:r w:rsidR="0053713A" w:rsidRPr="00036CF6">
              <w:rPr>
                <w:color w:val="0000FF" w:themeColor="hyperlink"/>
                <w:sz w:val="14"/>
                <w:szCs w:val="14"/>
                <w:u w:val="single"/>
              </w:rPr>
              <w:t>www.just.ro</w:t>
            </w:r>
          </w:hyperlink>
        </w:p>
      </w:tc>
      <w:tc>
        <w:tcPr>
          <w:tcW w:w="2981" w:type="dxa"/>
          <w:shd w:val="clear" w:color="auto" w:fill="auto"/>
          <w:vAlign w:val="center"/>
        </w:tcPr>
        <w:p w:rsidR="0053713A" w:rsidRPr="00B66E1D" w:rsidRDefault="0053713A" w:rsidP="00036CF6">
          <w:pPr>
            <w:tabs>
              <w:tab w:val="center" w:pos="4536"/>
              <w:tab w:val="right" w:pos="9072"/>
            </w:tabs>
            <w:spacing w:after="0" w:line="240" w:lineRule="auto"/>
            <w:ind w:left="0"/>
            <w:jc w:val="right"/>
            <w:rPr>
              <w:sz w:val="14"/>
              <w:szCs w:val="14"/>
              <w:lang w:val="es-ES"/>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FD4578">
            <w:rPr>
              <w:noProof/>
              <w:sz w:val="14"/>
              <w:szCs w:val="14"/>
              <w:lang w:val="es-ES"/>
            </w:rPr>
            <w:t>8</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FD4578">
            <w:rPr>
              <w:noProof/>
              <w:sz w:val="14"/>
              <w:szCs w:val="14"/>
              <w:lang w:val="es-ES"/>
            </w:rPr>
            <w:t>8</w:t>
          </w:r>
          <w:r w:rsidRPr="00036CF6">
            <w:rPr>
              <w:sz w:val="14"/>
              <w:szCs w:val="14"/>
            </w:rPr>
            <w:fldChar w:fldCharType="end"/>
          </w:r>
        </w:p>
        <w:p w:rsidR="0053713A" w:rsidRPr="00B66E1D" w:rsidRDefault="0053713A" w:rsidP="00036CF6">
          <w:pPr>
            <w:tabs>
              <w:tab w:val="center" w:pos="4536"/>
              <w:tab w:val="right" w:pos="9072"/>
            </w:tabs>
            <w:spacing w:after="0" w:line="240" w:lineRule="auto"/>
            <w:ind w:left="0"/>
            <w:jc w:val="right"/>
            <w:rPr>
              <w:sz w:val="14"/>
              <w:szCs w:val="14"/>
              <w:lang w:val="es-ES"/>
            </w:rPr>
          </w:pPr>
        </w:p>
        <w:p w:rsidR="0053713A" w:rsidRPr="00B66E1D" w:rsidRDefault="0053713A" w:rsidP="00036CF6">
          <w:pPr>
            <w:tabs>
              <w:tab w:val="center" w:pos="4536"/>
              <w:tab w:val="right" w:pos="9072"/>
            </w:tabs>
            <w:spacing w:after="0" w:line="240" w:lineRule="auto"/>
            <w:ind w:left="0"/>
            <w:jc w:val="right"/>
            <w:rPr>
              <w:sz w:val="14"/>
              <w:szCs w:val="14"/>
              <w:lang w:val="es-ES"/>
            </w:rPr>
          </w:pPr>
          <w:r>
            <w:rPr>
              <w:sz w:val="14"/>
              <w:szCs w:val="14"/>
              <w:lang w:val="es-ES"/>
            </w:rPr>
            <w:t>COD: FS-01-11</w:t>
          </w:r>
          <w:r w:rsidRPr="00B66E1D">
            <w:rPr>
              <w:sz w:val="14"/>
              <w:szCs w:val="14"/>
              <w:lang w:val="es-ES"/>
            </w:rPr>
            <w:t>-ver.</w:t>
          </w:r>
          <w:r>
            <w:rPr>
              <w:sz w:val="14"/>
              <w:szCs w:val="14"/>
              <w:lang w:val="es-ES"/>
            </w:rPr>
            <w:t>5</w:t>
          </w:r>
        </w:p>
        <w:p w:rsidR="0053713A" w:rsidRPr="00036CF6" w:rsidRDefault="0053713A" w:rsidP="00036CF6">
          <w:pPr>
            <w:tabs>
              <w:tab w:val="center" w:pos="4536"/>
              <w:tab w:val="right" w:pos="9072"/>
            </w:tabs>
            <w:spacing w:after="0" w:line="240" w:lineRule="auto"/>
            <w:ind w:left="0"/>
            <w:jc w:val="right"/>
            <w:rPr>
              <w:rFonts w:ascii="Arial" w:eastAsia="Times New Roman" w:hAnsi="Arial" w:cs="Arial"/>
              <w:b/>
              <w:sz w:val="16"/>
              <w:szCs w:val="16"/>
              <w:lang w:eastAsia="ro-RO"/>
            </w:rPr>
          </w:pPr>
        </w:p>
      </w:tc>
    </w:tr>
  </w:tbl>
  <w:p w:rsidR="0053713A" w:rsidRPr="007E7D11" w:rsidRDefault="0053713A" w:rsidP="00E80D5E">
    <w:pPr>
      <w:pStyle w:val="Footer"/>
      <w:ind w:left="0"/>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53713A" w:rsidRPr="00C56446" w:rsidTr="00036CF6">
      <w:tc>
        <w:tcPr>
          <w:tcW w:w="1566" w:type="dxa"/>
          <w:shd w:val="clear" w:color="auto" w:fill="auto"/>
        </w:tcPr>
        <w:p w:rsidR="0053713A" w:rsidRPr="00036CF6" w:rsidRDefault="0053713A"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7"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53713A" w:rsidRPr="00036CF6" w:rsidRDefault="0053713A"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53713A" w:rsidRPr="00036CF6" w:rsidRDefault="0053713A" w:rsidP="00036CF6">
          <w:pPr>
            <w:tabs>
              <w:tab w:val="center" w:pos="4320"/>
              <w:tab w:val="right" w:pos="8640"/>
            </w:tabs>
            <w:spacing w:after="0"/>
            <w:ind w:left="0"/>
            <w:rPr>
              <w:sz w:val="14"/>
              <w:szCs w:val="14"/>
            </w:rPr>
          </w:pPr>
          <w:r w:rsidRPr="00036CF6">
            <w:rPr>
              <w:sz w:val="14"/>
              <w:szCs w:val="14"/>
            </w:rPr>
            <w:t>Tel. +4 037 204 1999</w:t>
          </w:r>
        </w:p>
        <w:p w:rsidR="0053713A" w:rsidRPr="00036CF6" w:rsidRDefault="00D92947" w:rsidP="00036CF6">
          <w:pPr>
            <w:tabs>
              <w:tab w:val="center" w:pos="4320"/>
              <w:tab w:val="right" w:pos="8640"/>
            </w:tabs>
            <w:spacing w:after="0"/>
            <w:ind w:left="0"/>
            <w:rPr>
              <w:sz w:val="14"/>
              <w:szCs w:val="14"/>
            </w:rPr>
          </w:pPr>
          <w:hyperlink r:id="rId2" w:history="1">
            <w:r w:rsidR="0053713A" w:rsidRPr="00036CF6">
              <w:rPr>
                <w:color w:val="0000FF" w:themeColor="hyperlink"/>
                <w:sz w:val="14"/>
                <w:szCs w:val="14"/>
                <w:u w:val="single"/>
              </w:rPr>
              <w:t>www.just.ro</w:t>
            </w:r>
          </w:hyperlink>
        </w:p>
        <w:p w:rsidR="0053713A" w:rsidRPr="00036CF6" w:rsidRDefault="0053713A" w:rsidP="00036CF6">
          <w:pPr>
            <w:tabs>
              <w:tab w:val="center" w:pos="4536"/>
              <w:tab w:val="right" w:pos="9072"/>
            </w:tabs>
            <w:spacing w:after="0" w:line="240" w:lineRule="auto"/>
            <w:ind w:left="0"/>
            <w:jc w:val="left"/>
            <w:rPr>
              <w:rFonts w:ascii="Arial" w:eastAsia="Times New Roman" w:hAnsi="Arial" w:cs="Arial"/>
              <w:b/>
              <w:color w:val="003366"/>
              <w:sz w:val="16"/>
              <w:szCs w:val="16"/>
              <w:lang w:eastAsia="ro-RO"/>
            </w:rPr>
          </w:pPr>
        </w:p>
      </w:tc>
      <w:tc>
        <w:tcPr>
          <w:tcW w:w="2981" w:type="dxa"/>
          <w:shd w:val="clear" w:color="auto" w:fill="auto"/>
        </w:tcPr>
        <w:p w:rsidR="0053713A" w:rsidRPr="00B66E1D" w:rsidRDefault="0053713A" w:rsidP="00036CF6">
          <w:pPr>
            <w:tabs>
              <w:tab w:val="center" w:pos="4536"/>
              <w:tab w:val="right" w:pos="9072"/>
            </w:tabs>
            <w:spacing w:after="0" w:line="240" w:lineRule="auto"/>
            <w:ind w:left="0"/>
            <w:jc w:val="right"/>
            <w:rPr>
              <w:sz w:val="14"/>
              <w:szCs w:val="14"/>
              <w:lang w:val="es-ES"/>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FD4578">
            <w:rPr>
              <w:noProof/>
              <w:sz w:val="14"/>
              <w:szCs w:val="14"/>
              <w:lang w:val="es-ES"/>
            </w:rPr>
            <w:t>1</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FD4578">
            <w:rPr>
              <w:noProof/>
              <w:sz w:val="14"/>
              <w:szCs w:val="14"/>
              <w:lang w:val="es-ES"/>
            </w:rPr>
            <w:t>8</w:t>
          </w:r>
          <w:r w:rsidRPr="00036CF6">
            <w:rPr>
              <w:sz w:val="14"/>
              <w:szCs w:val="14"/>
            </w:rPr>
            <w:fldChar w:fldCharType="end"/>
          </w:r>
        </w:p>
        <w:p w:rsidR="0053713A" w:rsidRPr="00B66E1D" w:rsidRDefault="0053713A" w:rsidP="00036CF6">
          <w:pPr>
            <w:tabs>
              <w:tab w:val="center" w:pos="4536"/>
              <w:tab w:val="right" w:pos="9072"/>
            </w:tabs>
            <w:spacing w:after="0" w:line="240" w:lineRule="auto"/>
            <w:ind w:left="0"/>
            <w:jc w:val="right"/>
            <w:rPr>
              <w:sz w:val="14"/>
              <w:szCs w:val="14"/>
              <w:lang w:val="es-ES"/>
            </w:rPr>
          </w:pPr>
        </w:p>
        <w:p w:rsidR="0053713A" w:rsidRPr="00036CF6" w:rsidRDefault="0053713A" w:rsidP="00FF554B">
          <w:pPr>
            <w:tabs>
              <w:tab w:val="center" w:pos="4536"/>
              <w:tab w:val="right" w:pos="9072"/>
            </w:tabs>
            <w:spacing w:after="0" w:line="240" w:lineRule="auto"/>
            <w:ind w:left="0"/>
            <w:jc w:val="right"/>
            <w:rPr>
              <w:rFonts w:ascii="Arial" w:eastAsia="Times New Roman" w:hAnsi="Arial" w:cs="Arial"/>
              <w:b/>
              <w:sz w:val="16"/>
              <w:szCs w:val="16"/>
              <w:lang w:eastAsia="ro-RO"/>
            </w:rPr>
          </w:pPr>
          <w:r w:rsidRPr="00B66E1D">
            <w:rPr>
              <w:sz w:val="14"/>
              <w:szCs w:val="14"/>
              <w:lang w:val="es-ES"/>
            </w:rPr>
            <w:t>COD: FS-01-11-ver.</w:t>
          </w:r>
          <w:r>
            <w:rPr>
              <w:sz w:val="14"/>
              <w:szCs w:val="14"/>
              <w:lang w:val="es-ES"/>
            </w:rPr>
            <w:t>5</w:t>
          </w:r>
        </w:p>
      </w:tc>
    </w:tr>
  </w:tbl>
  <w:p w:rsidR="0053713A" w:rsidRPr="007E7D11" w:rsidRDefault="0053713A" w:rsidP="00036CF6">
    <w:pPr>
      <w:pStyle w:val="Footer"/>
      <w:ind w:left="0"/>
      <w:rPr>
        <w:sz w:val="2"/>
        <w:szCs w:val="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47" w:rsidRDefault="00D92947" w:rsidP="00871565">
      <w:pPr>
        <w:spacing w:after="0"/>
        <w:ind w:left="0"/>
      </w:pPr>
      <w:r>
        <w:separator/>
      </w:r>
    </w:p>
  </w:footnote>
  <w:footnote w:type="continuationSeparator" w:id="0">
    <w:p w:rsidR="00D92947" w:rsidRDefault="00D92947" w:rsidP="00871565">
      <w:pPr>
        <w:ind w:left="0"/>
      </w:pPr>
      <w:r>
        <w:continuationSeparator/>
      </w:r>
    </w:p>
  </w:footnote>
  <w:footnote w:type="continuationNotice" w:id="1">
    <w:p w:rsidR="00D92947" w:rsidRDefault="00D92947" w:rsidP="00871565">
      <w:pPr>
        <w:spacing w:after="0" w:line="240" w:lineRule="auto"/>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3A" w:rsidRDefault="0053713A" w:rsidP="008A4458">
    <w:pPr>
      <w:pStyle w:val="Header"/>
      <w:ind w:left="0"/>
    </w:pPr>
  </w:p>
  <w:p w:rsidR="0053713A" w:rsidRPr="00CD5B3B" w:rsidRDefault="0053713A" w:rsidP="008A4458">
    <w:pPr>
      <w:pStyle w:val="Header"/>
      <w:ind w:left="0"/>
    </w:pPr>
    <w:r>
      <w:rPr>
        <w:noProof/>
      </w:rPr>
      <w:drawing>
        <wp:inline distT="0" distB="0" distL="0" distR="0" wp14:anchorId="1EEF8F37" wp14:editId="6755F503">
          <wp:extent cx="1959610" cy="201930"/>
          <wp:effectExtent l="0" t="0" r="2540" b="7620"/>
          <wp:docPr id="5"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53713A" w:rsidTr="008A4458">
      <w:tc>
        <w:tcPr>
          <w:tcW w:w="6804" w:type="dxa"/>
          <w:shd w:val="clear" w:color="auto" w:fill="auto"/>
        </w:tcPr>
        <w:p w:rsidR="0053713A" w:rsidRPr="00CD5B3B" w:rsidRDefault="0053713A" w:rsidP="00C20EF1">
          <w:pPr>
            <w:pStyle w:val="MediumGrid21"/>
          </w:pPr>
          <w:r>
            <w:rPr>
              <w:noProof/>
            </w:rPr>
            <w:drawing>
              <wp:anchor distT="0" distB="0" distL="114300" distR="114300" simplePos="0" relativeHeight="251658240" behindDoc="1" locked="0" layoutInCell="1" allowOverlap="1">
                <wp:simplePos x="0" y="0"/>
                <wp:positionH relativeFrom="page">
                  <wp:posOffset>581</wp:posOffset>
                </wp:positionH>
                <wp:positionV relativeFrom="page">
                  <wp:posOffset>27</wp:posOffset>
                </wp:positionV>
                <wp:extent cx="2816225" cy="899795"/>
                <wp:effectExtent l="0" t="0" r="3175" b="0"/>
                <wp:wrapThrough wrapText="bothSides">
                  <wp:wrapPolygon edited="0">
                    <wp:start x="2192" y="0"/>
                    <wp:lineTo x="1315" y="1372"/>
                    <wp:lineTo x="0" y="5488"/>
                    <wp:lineTo x="0" y="16006"/>
                    <wp:lineTo x="1753" y="21036"/>
                    <wp:lineTo x="2192" y="21036"/>
                    <wp:lineTo x="4676" y="21036"/>
                    <wp:lineTo x="5114" y="21036"/>
                    <wp:lineTo x="6867" y="15548"/>
                    <wp:lineTo x="21478" y="13262"/>
                    <wp:lineTo x="21478" y="8689"/>
                    <wp:lineTo x="7159" y="6402"/>
                    <wp:lineTo x="5406" y="915"/>
                    <wp:lineTo x="4676" y="0"/>
                    <wp:lineTo x="2192" y="0"/>
                  </wp:wrapPolygon>
                </wp:wrapThrough>
                <wp:docPr id="1" name="Imagine 1" descr="logo MJ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3713A" w:rsidRDefault="0053713A" w:rsidP="00E562FC">
          <w:pPr>
            <w:pStyle w:val="MediumGrid21"/>
            <w:jc w:val="right"/>
          </w:pPr>
        </w:p>
      </w:tc>
    </w:tr>
  </w:tbl>
  <w:p w:rsidR="0053713A" w:rsidRPr="007E7D11" w:rsidRDefault="0053713A" w:rsidP="002B2D08">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ECC"/>
    <w:multiLevelType w:val="hybridMultilevel"/>
    <w:tmpl w:val="55E22440"/>
    <w:lvl w:ilvl="0" w:tplc="3632963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D078E8"/>
    <w:multiLevelType w:val="hybridMultilevel"/>
    <w:tmpl w:val="89B2076C"/>
    <w:lvl w:ilvl="0" w:tplc="34B8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82F21"/>
    <w:multiLevelType w:val="hybridMultilevel"/>
    <w:tmpl w:val="004829D4"/>
    <w:lvl w:ilvl="0" w:tplc="EFAC4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4156B"/>
    <w:multiLevelType w:val="hybridMultilevel"/>
    <w:tmpl w:val="FD508400"/>
    <w:lvl w:ilvl="0" w:tplc="93DCF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01613"/>
    <w:multiLevelType w:val="hybridMultilevel"/>
    <w:tmpl w:val="6152011A"/>
    <w:lvl w:ilvl="0" w:tplc="9104C258">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F6597D"/>
    <w:multiLevelType w:val="hybridMultilevel"/>
    <w:tmpl w:val="627E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F5966"/>
    <w:multiLevelType w:val="hybridMultilevel"/>
    <w:tmpl w:val="B470A9F4"/>
    <w:lvl w:ilvl="0" w:tplc="A9D850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728C5"/>
    <w:multiLevelType w:val="hybridMultilevel"/>
    <w:tmpl w:val="FE9686D4"/>
    <w:lvl w:ilvl="0" w:tplc="A9D850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44692BA9"/>
    <w:multiLevelType w:val="hybridMultilevel"/>
    <w:tmpl w:val="532E633A"/>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440AC"/>
    <w:multiLevelType w:val="hybridMultilevel"/>
    <w:tmpl w:val="5CF2366E"/>
    <w:lvl w:ilvl="0" w:tplc="63CE3236">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B1DF5"/>
    <w:multiLevelType w:val="hybridMultilevel"/>
    <w:tmpl w:val="3FF2757C"/>
    <w:lvl w:ilvl="0" w:tplc="9E12B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0173D"/>
    <w:multiLevelType w:val="hybridMultilevel"/>
    <w:tmpl w:val="0AC8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05C78"/>
    <w:multiLevelType w:val="hybridMultilevel"/>
    <w:tmpl w:val="0636C794"/>
    <w:lvl w:ilvl="0" w:tplc="2A181E58">
      <w:start w:val="1"/>
      <w:numFmt w:val="upperRoman"/>
      <w:lvlText w:val="%1."/>
      <w:lvlJc w:val="left"/>
      <w:pPr>
        <w:ind w:left="360" w:hanging="360"/>
      </w:pPr>
      <w:rPr>
        <w:rFonts w:ascii="Trebuchet MS" w:eastAsia="MS Mincho" w:hAnsi="Trebuchet MS" w:cs="Times New Roman"/>
        <w:b/>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nsid w:val="657202B8"/>
    <w:multiLevelType w:val="hybridMultilevel"/>
    <w:tmpl w:val="E4AE670E"/>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35AA0"/>
    <w:multiLevelType w:val="hybridMultilevel"/>
    <w:tmpl w:val="142E862C"/>
    <w:lvl w:ilvl="0" w:tplc="D6F63B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9"/>
  </w:num>
  <w:num w:numId="4">
    <w:abstractNumId w:val="5"/>
  </w:num>
  <w:num w:numId="5">
    <w:abstractNumId w:val="2"/>
  </w:num>
  <w:num w:numId="6">
    <w:abstractNumId w:val="12"/>
  </w:num>
  <w:num w:numId="7">
    <w:abstractNumId w:val="0"/>
  </w:num>
  <w:num w:numId="8">
    <w:abstractNumId w:val="15"/>
  </w:num>
  <w:num w:numId="9">
    <w:abstractNumId w:val="10"/>
  </w:num>
  <w:num w:numId="10">
    <w:abstractNumId w:val="3"/>
  </w:num>
  <w:num w:numId="11">
    <w:abstractNumId w:val="1"/>
  </w:num>
  <w:num w:numId="12">
    <w:abstractNumId w:val="11"/>
  </w:num>
  <w:num w:numId="13">
    <w:abstractNumId w:val="4"/>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F3A"/>
    <w:rsid w:val="000024D7"/>
    <w:rsid w:val="000105DA"/>
    <w:rsid w:val="0002256C"/>
    <w:rsid w:val="00023330"/>
    <w:rsid w:val="000369B5"/>
    <w:rsid w:val="00036CF6"/>
    <w:rsid w:val="00041F59"/>
    <w:rsid w:val="00071536"/>
    <w:rsid w:val="00075136"/>
    <w:rsid w:val="00094F9F"/>
    <w:rsid w:val="000D1F05"/>
    <w:rsid w:val="000E07D8"/>
    <w:rsid w:val="000F52D3"/>
    <w:rsid w:val="000F7504"/>
    <w:rsid w:val="00100F36"/>
    <w:rsid w:val="0010565C"/>
    <w:rsid w:val="00105E38"/>
    <w:rsid w:val="0011673C"/>
    <w:rsid w:val="001447E0"/>
    <w:rsid w:val="00150CB5"/>
    <w:rsid w:val="001631D2"/>
    <w:rsid w:val="00195F78"/>
    <w:rsid w:val="001A0DAC"/>
    <w:rsid w:val="001E192C"/>
    <w:rsid w:val="001E420D"/>
    <w:rsid w:val="001F126A"/>
    <w:rsid w:val="001F4376"/>
    <w:rsid w:val="001F455B"/>
    <w:rsid w:val="001F5DA9"/>
    <w:rsid w:val="002062E1"/>
    <w:rsid w:val="00211609"/>
    <w:rsid w:val="00212A34"/>
    <w:rsid w:val="002662A0"/>
    <w:rsid w:val="00284333"/>
    <w:rsid w:val="002A5742"/>
    <w:rsid w:val="002A5EBB"/>
    <w:rsid w:val="002A7ABE"/>
    <w:rsid w:val="002B2D08"/>
    <w:rsid w:val="002B58DB"/>
    <w:rsid w:val="002D70AF"/>
    <w:rsid w:val="002E1753"/>
    <w:rsid w:val="003033E6"/>
    <w:rsid w:val="0032422C"/>
    <w:rsid w:val="0035535B"/>
    <w:rsid w:val="00362C9F"/>
    <w:rsid w:val="0036368B"/>
    <w:rsid w:val="003677C6"/>
    <w:rsid w:val="00372EF0"/>
    <w:rsid w:val="0038175C"/>
    <w:rsid w:val="00390C4C"/>
    <w:rsid w:val="003E750E"/>
    <w:rsid w:val="00403A18"/>
    <w:rsid w:val="00403AB2"/>
    <w:rsid w:val="0040498B"/>
    <w:rsid w:val="0041442B"/>
    <w:rsid w:val="004175F0"/>
    <w:rsid w:val="00421CFB"/>
    <w:rsid w:val="00447E8A"/>
    <w:rsid w:val="00462299"/>
    <w:rsid w:val="00493AD5"/>
    <w:rsid w:val="004A5494"/>
    <w:rsid w:val="004B53DD"/>
    <w:rsid w:val="004B6D69"/>
    <w:rsid w:val="004D6AE6"/>
    <w:rsid w:val="004F094D"/>
    <w:rsid w:val="00534972"/>
    <w:rsid w:val="0053713A"/>
    <w:rsid w:val="0054086A"/>
    <w:rsid w:val="00543045"/>
    <w:rsid w:val="005712C8"/>
    <w:rsid w:val="005725E2"/>
    <w:rsid w:val="00592AA7"/>
    <w:rsid w:val="005D36B6"/>
    <w:rsid w:val="005D4BD9"/>
    <w:rsid w:val="005D6E0D"/>
    <w:rsid w:val="005E2F22"/>
    <w:rsid w:val="005E6FFA"/>
    <w:rsid w:val="005F66A5"/>
    <w:rsid w:val="00601237"/>
    <w:rsid w:val="00604DD4"/>
    <w:rsid w:val="00626C53"/>
    <w:rsid w:val="006319D0"/>
    <w:rsid w:val="006745A2"/>
    <w:rsid w:val="00674B7C"/>
    <w:rsid w:val="00677FEB"/>
    <w:rsid w:val="006818C1"/>
    <w:rsid w:val="006834CE"/>
    <w:rsid w:val="006A018E"/>
    <w:rsid w:val="006A263E"/>
    <w:rsid w:val="006A26B5"/>
    <w:rsid w:val="006A4488"/>
    <w:rsid w:val="006B528B"/>
    <w:rsid w:val="006D7378"/>
    <w:rsid w:val="006E27F8"/>
    <w:rsid w:val="006F0C3E"/>
    <w:rsid w:val="006F2A10"/>
    <w:rsid w:val="007112D5"/>
    <w:rsid w:val="00722BEC"/>
    <w:rsid w:val="00725EF8"/>
    <w:rsid w:val="00725F2C"/>
    <w:rsid w:val="00740335"/>
    <w:rsid w:val="00740EEB"/>
    <w:rsid w:val="00743D2D"/>
    <w:rsid w:val="00763E11"/>
    <w:rsid w:val="007646B7"/>
    <w:rsid w:val="00766E0E"/>
    <w:rsid w:val="00781422"/>
    <w:rsid w:val="00785579"/>
    <w:rsid w:val="007A1A6A"/>
    <w:rsid w:val="007A3B5E"/>
    <w:rsid w:val="007B5F53"/>
    <w:rsid w:val="007B776F"/>
    <w:rsid w:val="007C419B"/>
    <w:rsid w:val="007C569A"/>
    <w:rsid w:val="007E22E0"/>
    <w:rsid w:val="007E7D11"/>
    <w:rsid w:val="00810CE9"/>
    <w:rsid w:val="008231E2"/>
    <w:rsid w:val="00840F14"/>
    <w:rsid w:val="0084631E"/>
    <w:rsid w:val="0085062E"/>
    <w:rsid w:val="00866B83"/>
    <w:rsid w:val="00870D7F"/>
    <w:rsid w:val="00871565"/>
    <w:rsid w:val="00871DA8"/>
    <w:rsid w:val="0088750D"/>
    <w:rsid w:val="008A2AC0"/>
    <w:rsid w:val="008A440F"/>
    <w:rsid w:val="008A4458"/>
    <w:rsid w:val="008B63B2"/>
    <w:rsid w:val="008C45AE"/>
    <w:rsid w:val="008C5D92"/>
    <w:rsid w:val="008E08A3"/>
    <w:rsid w:val="00903AE5"/>
    <w:rsid w:val="00905A36"/>
    <w:rsid w:val="00915096"/>
    <w:rsid w:val="00921837"/>
    <w:rsid w:val="0094530E"/>
    <w:rsid w:val="00974016"/>
    <w:rsid w:val="00996208"/>
    <w:rsid w:val="009A7B23"/>
    <w:rsid w:val="009C32CB"/>
    <w:rsid w:val="009E6B74"/>
    <w:rsid w:val="009E7609"/>
    <w:rsid w:val="00A026EE"/>
    <w:rsid w:val="00A13890"/>
    <w:rsid w:val="00A143BE"/>
    <w:rsid w:val="00A323AB"/>
    <w:rsid w:val="00A33E37"/>
    <w:rsid w:val="00A358C4"/>
    <w:rsid w:val="00A36732"/>
    <w:rsid w:val="00A52B73"/>
    <w:rsid w:val="00A64B98"/>
    <w:rsid w:val="00A65CE5"/>
    <w:rsid w:val="00A74FAE"/>
    <w:rsid w:val="00A75794"/>
    <w:rsid w:val="00A76176"/>
    <w:rsid w:val="00A7669D"/>
    <w:rsid w:val="00A851E9"/>
    <w:rsid w:val="00AA0F30"/>
    <w:rsid w:val="00AB0993"/>
    <w:rsid w:val="00AB61D7"/>
    <w:rsid w:val="00AC460A"/>
    <w:rsid w:val="00AE26B4"/>
    <w:rsid w:val="00B04035"/>
    <w:rsid w:val="00B10A59"/>
    <w:rsid w:val="00B13162"/>
    <w:rsid w:val="00B13BB4"/>
    <w:rsid w:val="00B1425B"/>
    <w:rsid w:val="00B14306"/>
    <w:rsid w:val="00B51B61"/>
    <w:rsid w:val="00B55776"/>
    <w:rsid w:val="00B6285F"/>
    <w:rsid w:val="00B65AEC"/>
    <w:rsid w:val="00B66E1D"/>
    <w:rsid w:val="00B92102"/>
    <w:rsid w:val="00B930E4"/>
    <w:rsid w:val="00B9527A"/>
    <w:rsid w:val="00BB10F5"/>
    <w:rsid w:val="00BF61AA"/>
    <w:rsid w:val="00C01BBF"/>
    <w:rsid w:val="00C05271"/>
    <w:rsid w:val="00C05F49"/>
    <w:rsid w:val="00C144DE"/>
    <w:rsid w:val="00C20EF1"/>
    <w:rsid w:val="00C51B63"/>
    <w:rsid w:val="00C542FE"/>
    <w:rsid w:val="00C54591"/>
    <w:rsid w:val="00C56446"/>
    <w:rsid w:val="00C60C2D"/>
    <w:rsid w:val="00C65B9C"/>
    <w:rsid w:val="00C94EEA"/>
    <w:rsid w:val="00C9569D"/>
    <w:rsid w:val="00CC1486"/>
    <w:rsid w:val="00CD0C6C"/>
    <w:rsid w:val="00CD0F06"/>
    <w:rsid w:val="00CD5B3B"/>
    <w:rsid w:val="00CE1717"/>
    <w:rsid w:val="00D06E9C"/>
    <w:rsid w:val="00D25CF7"/>
    <w:rsid w:val="00D327AD"/>
    <w:rsid w:val="00D476B7"/>
    <w:rsid w:val="00D6243B"/>
    <w:rsid w:val="00D6402E"/>
    <w:rsid w:val="00D71F41"/>
    <w:rsid w:val="00D72DDA"/>
    <w:rsid w:val="00D755EF"/>
    <w:rsid w:val="00D81306"/>
    <w:rsid w:val="00D86F1D"/>
    <w:rsid w:val="00D9190B"/>
    <w:rsid w:val="00D92947"/>
    <w:rsid w:val="00D93F53"/>
    <w:rsid w:val="00D95A9C"/>
    <w:rsid w:val="00DA169A"/>
    <w:rsid w:val="00DA5F8B"/>
    <w:rsid w:val="00DF3E11"/>
    <w:rsid w:val="00DF7B2B"/>
    <w:rsid w:val="00E04E0D"/>
    <w:rsid w:val="00E07965"/>
    <w:rsid w:val="00E14D10"/>
    <w:rsid w:val="00E2099A"/>
    <w:rsid w:val="00E219D2"/>
    <w:rsid w:val="00E23DC8"/>
    <w:rsid w:val="00E45D02"/>
    <w:rsid w:val="00E532F8"/>
    <w:rsid w:val="00E562FC"/>
    <w:rsid w:val="00E61444"/>
    <w:rsid w:val="00E67401"/>
    <w:rsid w:val="00E70EE2"/>
    <w:rsid w:val="00E758D7"/>
    <w:rsid w:val="00E80D5E"/>
    <w:rsid w:val="00EA0F6C"/>
    <w:rsid w:val="00EA1D55"/>
    <w:rsid w:val="00EB5296"/>
    <w:rsid w:val="00EB6ABD"/>
    <w:rsid w:val="00EE32F2"/>
    <w:rsid w:val="00F23EC1"/>
    <w:rsid w:val="00F30363"/>
    <w:rsid w:val="00F5219A"/>
    <w:rsid w:val="00F56471"/>
    <w:rsid w:val="00F57D51"/>
    <w:rsid w:val="00F67D20"/>
    <w:rsid w:val="00F72651"/>
    <w:rsid w:val="00F77F30"/>
    <w:rsid w:val="00F87327"/>
    <w:rsid w:val="00FA7222"/>
    <w:rsid w:val="00FB6D27"/>
    <w:rsid w:val="00FC4284"/>
    <w:rsid w:val="00FD3CB7"/>
    <w:rsid w:val="00FD4578"/>
    <w:rsid w:val="00FD48C3"/>
    <w:rsid w:val="00FD7204"/>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0E"/>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7B5F53"/>
    <w:pPr>
      <w:ind w:left="720"/>
      <w:contextualSpacing/>
    </w:pPr>
  </w:style>
  <w:style w:type="character" w:customStyle="1" w:styleId="l5def1">
    <w:name w:val="l5def1"/>
    <w:basedOn w:val="DefaultParagraphFont"/>
    <w:rsid w:val="005F66A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5F41-369A-4A7A-BC5C-EB5C162F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8</Pages>
  <Words>1938</Words>
  <Characters>11049</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12962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2018-02-21T07:29:00Z</cp:lastPrinted>
  <dcterms:created xsi:type="dcterms:W3CDTF">2018-02-21T07:30:00Z</dcterms:created>
  <dcterms:modified xsi:type="dcterms:W3CDTF">2018-02-21T07:30:00Z</dcterms:modified>
</cp:coreProperties>
</file>